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23CED1" w14:textId="77777777" w:rsidR="009F3AEA" w:rsidRDefault="00A52B9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ZAPISNIK</w:t>
      </w:r>
    </w:p>
    <w:p w14:paraId="76C1F446" w14:textId="77777777" w:rsidR="009F3AEA" w:rsidRDefault="00A52B9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 sjednice Vijeća Mjesnog odbora „Hrvatski narodni vladari”</w:t>
      </w:r>
    </w:p>
    <w:p w14:paraId="09C52528" w14:textId="77777777" w:rsidR="009F3AEA" w:rsidRDefault="00A52B9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održane u četvrtak 30. ožujka 2023. u 17 sati u prostorijama Mjesnog odbora „Hrvatski narodni vladari”, Trg hrvatskih velikana 2/1</w:t>
      </w:r>
    </w:p>
    <w:p w14:paraId="6B2F2F98" w14:textId="77777777" w:rsidR="009F3AEA" w:rsidRDefault="009F3AEA">
      <w:pPr>
        <w:rPr>
          <w:rFonts w:ascii="Times New Roman" w:eastAsia="Times New Roman" w:hAnsi="Times New Roman" w:cs="Times New Roman"/>
          <w:sz w:val="24"/>
          <w:szCs w:val="24"/>
        </w:rPr>
      </w:pPr>
    </w:p>
    <w:p w14:paraId="0C41BFAD" w14:textId="77777777" w:rsidR="009F3AEA" w:rsidRDefault="00A52B9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Nazočne članice Vijeća Mjesnog odbora „Hrvatski narodni vladari”: Anja Pletikosa, Tamara Bjažić Klarin i Vanja Mladineo.</w:t>
      </w:r>
    </w:p>
    <w:p w14:paraId="5163013A" w14:textId="77777777" w:rsidR="009F3AEA" w:rsidRDefault="009F3AEA">
      <w:pPr>
        <w:jc w:val="both"/>
        <w:rPr>
          <w:rFonts w:ascii="Times New Roman" w:eastAsia="Times New Roman" w:hAnsi="Times New Roman" w:cs="Times New Roman"/>
          <w:sz w:val="24"/>
          <w:szCs w:val="24"/>
        </w:rPr>
      </w:pPr>
    </w:p>
    <w:p w14:paraId="5E32DC72" w14:textId="77777777" w:rsidR="009F3AEA" w:rsidRDefault="00A52B9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Vijeća Anja Pletikosa pozdravlja sve nazočne i konstatira da je na sjednici prisutna većina članica Vijeća, čime su stečeni uvjeti za raspravu. </w:t>
      </w:r>
    </w:p>
    <w:p w14:paraId="603FDB1A" w14:textId="77777777" w:rsidR="009F3AEA" w:rsidRDefault="009F3AEA">
      <w:pPr>
        <w:jc w:val="both"/>
        <w:rPr>
          <w:rFonts w:ascii="Times New Roman" w:eastAsia="Times New Roman" w:hAnsi="Times New Roman" w:cs="Times New Roman"/>
          <w:sz w:val="24"/>
          <w:szCs w:val="24"/>
        </w:rPr>
      </w:pPr>
    </w:p>
    <w:p w14:paraId="0CC55E8C" w14:textId="77777777" w:rsidR="009F3AEA" w:rsidRDefault="00A52B9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Vijeća daje na raspravu zapisnik sa 20. sjednice održane 20. veljače 2023. godine.</w:t>
      </w:r>
    </w:p>
    <w:p w14:paraId="0AC8DC22" w14:textId="77777777" w:rsidR="009F3AEA" w:rsidRDefault="00A52B9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bez rasprave jednoglasno prihvaća zapisnik.</w:t>
      </w:r>
    </w:p>
    <w:p w14:paraId="56B1AB77" w14:textId="77777777" w:rsidR="009F3AEA" w:rsidRDefault="009F3AEA">
      <w:pPr>
        <w:jc w:val="both"/>
        <w:rPr>
          <w:rFonts w:ascii="Times New Roman" w:eastAsia="Times New Roman" w:hAnsi="Times New Roman" w:cs="Times New Roman"/>
          <w:sz w:val="24"/>
          <w:szCs w:val="24"/>
        </w:rPr>
      </w:pPr>
    </w:p>
    <w:p w14:paraId="790BC706" w14:textId="77777777" w:rsidR="009F3AEA" w:rsidRDefault="00A52B9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Vijeća otvara raspravu o predloženom dnevnom redu 21. sjednice.</w:t>
      </w:r>
    </w:p>
    <w:p w14:paraId="53DF265E" w14:textId="77777777" w:rsidR="009F3AEA" w:rsidRDefault="009F3AEA">
      <w:pPr>
        <w:rPr>
          <w:rFonts w:ascii="Times New Roman" w:eastAsia="Times New Roman" w:hAnsi="Times New Roman" w:cs="Times New Roman"/>
          <w:sz w:val="24"/>
          <w:szCs w:val="24"/>
        </w:rPr>
      </w:pPr>
    </w:p>
    <w:p w14:paraId="32CFC149" w14:textId="77777777" w:rsidR="009F3AEA" w:rsidRDefault="00A52B9C">
      <w:pPr>
        <w:spacing w:after="100"/>
        <w:rPr>
          <w:rFonts w:ascii="Times New Roman" w:eastAsia="Times New Roman" w:hAnsi="Times New Roman" w:cs="Times New Roman"/>
          <w:sz w:val="24"/>
          <w:szCs w:val="24"/>
        </w:rPr>
      </w:pPr>
      <w:r>
        <w:rPr>
          <w:rFonts w:ascii="Times New Roman" w:eastAsia="Times New Roman" w:hAnsi="Times New Roman" w:cs="Times New Roman"/>
          <w:sz w:val="24"/>
          <w:szCs w:val="24"/>
        </w:rPr>
        <w:t>Prijedlog dnevnog reda:</w:t>
      </w:r>
    </w:p>
    <w:p w14:paraId="6736DEE4" w14:textId="77777777" w:rsidR="009F3AEA" w:rsidRDefault="009F3AEA">
      <w:pPr>
        <w:jc w:val="both"/>
        <w:rPr>
          <w:rFonts w:ascii="Times New Roman" w:eastAsia="Times New Roman" w:hAnsi="Times New Roman" w:cs="Times New Roman"/>
          <w:sz w:val="24"/>
          <w:szCs w:val="24"/>
        </w:rPr>
      </w:pPr>
    </w:p>
    <w:p w14:paraId="3F11B4B5" w14:textId="77777777" w:rsidR="009F3AEA" w:rsidRDefault="00A52B9C">
      <w:pPr>
        <w:jc w:val="center"/>
        <w:rPr>
          <w:rFonts w:ascii="Times New Roman" w:eastAsia="Times New Roman" w:hAnsi="Times New Roman" w:cs="Times New Roman"/>
          <w:b/>
          <w:sz w:val="24"/>
          <w:szCs w:val="24"/>
        </w:rPr>
      </w:pPr>
      <w:bookmarkStart w:id="0" w:name="_heading=h.gjdgxs" w:colFirst="0" w:colLast="0"/>
      <w:bookmarkEnd w:id="0"/>
      <w:r>
        <w:rPr>
          <w:rFonts w:ascii="Times New Roman" w:eastAsia="Times New Roman" w:hAnsi="Times New Roman" w:cs="Times New Roman"/>
          <w:b/>
          <w:sz w:val="24"/>
          <w:szCs w:val="24"/>
        </w:rPr>
        <w:t>DNEVNI RED:</w:t>
      </w:r>
    </w:p>
    <w:p w14:paraId="254E6277" w14:textId="77777777" w:rsidR="009F3AEA" w:rsidRDefault="009F3AEA">
      <w:pPr>
        <w:pBdr>
          <w:top w:val="nil"/>
          <w:left w:val="nil"/>
          <w:bottom w:val="nil"/>
          <w:right w:val="nil"/>
          <w:between w:val="nil"/>
        </w:pBdr>
        <w:spacing w:line="240" w:lineRule="auto"/>
        <w:rPr>
          <w:rFonts w:ascii="Times New Roman" w:eastAsia="Times New Roman" w:hAnsi="Times New Roman" w:cs="Times New Roman"/>
          <w:sz w:val="24"/>
          <w:szCs w:val="24"/>
        </w:rPr>
      </w:pPr>
    </w:p>
    <w:p w14:paraId="4B24397C" w14:textId="77777777" w:rsidR="009F3AEA" w:rsidRDefault="00A52B9C">
      <w:p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Izvješće o radu Vijeća Mjesnog odbora „Hrvatski narodni vladari“ za 2022.</w:t>
      </w:r>
    </w:p>
    <w:p w14:paraId="47BE241C" w14:textId="77777777" w:rsidR="009F3AEA" w:rsidRDefault="009F3AEA">
      <w:pPr>
        <w:pBdr>
          <w:top w:val="nil"/>
          <w:left w:val="nil"/>
          <w:bottom w:val="nil"/>
          <w:right w:val="nil"/>
          <w:between w:val="nil"/>
        </w:pBdr>
        <w:spacing w:line="240" w:lineRule="auto"/>
        <w:rPr>
          <w:rFonts w:ascii="Times New Roman" w:eastAsia="Times New Roman" w:hAnsi="Times New Roman" w:cs="Times New Roman"/>
          <w:sz w:val="24"/>
          <w:szCs w:val="24"/>
        </w:rPr>
      </w:pPr>
    </w:p>
    <w:p w14:paraId="647C2CBF" w14:textId="77777777" w:rsidR="009F3AEA" w:rsidRDefault="00A52B9C">
      <w:p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Program rada Vijeća Mjesnog odbora „Hrvatski narodni vladari“ za 2023.</w:t>
      </w:r>
    </w:p>
    <w:p w14:paraId="0ACD8EC8" w14:textId="77777777" w:rsidR="009F3AEA" w:rsidRDefault="009F3AEA">
      <w:pPr>
        <w:pBdr>
          <w:top w:val="nil"/>
          <w:left w:val="nil"/>
          <w:bottom w:val="nil"/>
          <w:right w:val="nil"/>
          <w:between w:val="nil"/>
        </w:pBdr>
        <w:spacing w:line="240" w:lineRule="auto"/>
        <w:rPr>
          <w:rFonts w:ascii="Times New Roman" w:eastAsia="Times New Roman" w:hAnsi="Times New Roman" w:cs="Times New Roman"/>
          <w:sz w:val="24"/>
          <w:szCs w:val="24"/>
        </w:rPr>
      </w:pPr>
    </w:p>
    <w:p w14:paraId="0AEB37A5" w14:textId="77777777" w:rsidR="009F3AEA" w:rsidRDefault="00A52B9C">
      <w:p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Zaključak o prijedlogu utroška sredstava sa pozicije Ostali nespomenuti rashodi</w:t>
      </w:r>
    </w:p>
    <w:p w14:paraId="7CC27620" w14:textId="77777777" w:rsidR="009F3AEA" w:rsidRDefault="00A52B9C">
      <w:p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poslovanja Vijeća Mjesnog odbora „Hrvatski narodni vladari“ za 2023.</w:t>
      </w:r>
    </w:p>
    <w:p w14:paraId="4B3AAAE0" w14:textId="77777777" w:rsidR="009F3AEA" w:rsidRDefault="009F3AEA">
      <w:pPr>
        <w:pBdr>
          <w:top w:val="nil"/>
          <w:left w:val="nil"/>
          <w:bottom w:val="nil"/>
          <w:right w:val="nil"/>
          <w:between w:val="nil"/>
        </w:pBdr>
        <w:spacing w:line="240" w:lineRule="auto"/>
        <w:rPr>
          <w:rFonts w:ascii="Times New Roman" w:eastAsia="Times New Roman" w:hAnsi="Times New Roman" w:cs="Times New Roman"/>
          <w:sz w:val="24"/>
          <w:szCs w:val="24"/>
        </w:rPr>
      </w:pPr>
    </w:p>
    <w:p w14:paraId="24BA39F4" w14:textId="77777777" w:rsidR="009F3AEA" w:rsidRDefault="00A52B9C">
      <w:p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Korištenje prostora Mjesnog odbora „Hrvatski narodni vladari“ – donošenje</w:t>
      </w:r>
    </w:p>
    <w:p w14:paraId="174E12AB" w14:textId="77777777" w:rsidR="009F3AEA" w:rsidRDefault="00A52B9C">
      <w:p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zaključaka</w:t>
      </w:r>
    </w:p>
    <w:p w14:paraId="292EF979" w14:textId="77777777" w:rsidR="009F3AEA" w:rsidRDefault="009F3AEA">
      <w:pPr>
        <w:pBdr>
          <w:top w:val="nil"/>
          <w:left w:val="nil"/>
          <w:bottom w:val="nil"/>
          <w:right w:val="nil"/>
          <w:between w:val="nil"/>
        </w:pBdr>
        <w:spacing w:line="240" w:lineRule="auto"/>
        <w:rPr>
          <w:rFonts w:ascii="Times New Roman" w:eastAsia="Times New Roman" w:hAnsi="Times New Roman" w:cs="Times New Roman"/>
          <w:sz w:val="24"/>
          <w:szCs w:val="24"/>
        </w:rPr>
      </w:pPr>
    </w:p>
    <w:p w14:paraId="0A255826" w14:textId="77777777" w:rsidR="009F3AEA" w:rsidRDefault="00A52B9C">
      <w:p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Prijedlog Odluke o izradi izmjena i dopuna Generalnog urbanističkog plana Grada</w:t>
      </w:r>
    </w:p>
    <w:p w14:paraId="55B35E54" w14:textId="77777777" w:rsidR="009F3AEA" w:rsidRDefault="00A52B9C">
      <w:p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Zagreba, mišljenje, daje se</w:t>
      </w:r>
    </w:p>
    <w:p w14:paraId="5D36A304" w14:textId="77777777" w:rsidR="009F3AEA" w:rsidRDefault="009F3AEA">
      <w:pPr>
        <w:pBdr>
          <w:top w:val="nil"/>
          <w:left w:val="nil"/>
          <w:bottom w:val="nil"/>
          <w:right w:val="nil"/>
          <w:between w:val="nil"/>
        </w:pBdr>
        <w:spacing w:line="240" w:lineRule="auto"/>
        <w:rPr>
          <w:rFonts w:ascii="Times New Roman" w:eastAsia="Times New Roman" w:hAnsi="Times New Roman" w:cs="Times New Roman"/>
          <w:sz w:val="24"/>
          <w:szCs w:val="24"/>
        </w:rPr>
      </w:pPr>
    </w:p>
    <w:p w14:paraId="1418BCE1" w14:textId="77777777" w:rsidR="009F3AEA" w:rsidRDefault="00A52B9C">
      <w:p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Prijedlog Odluke o izradi izmjena i dopuna Generalnog urbanističkog plana Sesveta,</w:t>
      </w:r>
    </w:p>
    <w:p w14:paraId="1412B0D9" w14:textId="77777777" w:rsidR="009F3AEA" w:rsidRDefault="00A52B9C">
      <w:p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mišljenje, daje se</w:t>
      </w:r>
    </w:p>
    <w:p w14:paraId="2C1735A6" w14:textId="77777777" w:rsidR="009F3AEA" w:rsidRDefault="009F3AEA">
      <w:pPr>
        <w:pBdr>
          <w:top w:val="nil"/>
          <w:left w:val="nil"/>
          <w:bottom w:val="nil"/>
          <w:right w:val="nil"/>
          <w:between w:val="nil"/>
        </w:pBdr>
        <w:spacing w:line="240" w:lineRule="auto"/>
        <w:rPr>
          <w:rFonts w:ascii="Times New Roman" w:eastAsia="Times New Roman" w:hAnsi="Times New Roman" w:cs="Times New Roman"/>
          <w:sz w:val="24"/>
          <w:szCs w:val="24"/>
        </w:rPr>
      </w:pPr>
    </w:p>
    <w:p w14:paraId="1171D95B" w14:textId="77777777" w:rsidR="009F3AEA" w:rsidRDefault="00A52B9C">
      <w:p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Razno</w:t>
      </w:r>
    </w:p>
    <w:p w14:paraId="57AC2670" w14:textId="77777777" w:rsidR="009F3AEA" w:rsidRDefault="009F3AEA">
      <w:pPr>
        <w:pBdr>
          <w:top w:val="nil"/>
          <w:left w:val="nil"/>
          <w:bottom w:val="nil"/>
          <w:right w:val="nil"/>
          <w:between w:val="nil"/>
        </w:pBdr>
        <w:spacing w:line="240" w:lineRule="auto"/>
        <w:ind w:left="720"/>
        <w:rPr>
          <w:rFonts w:ascii="Times New Roman" w:eastAsia="Times New Roman" w:hAnsi="Times New Roman" w:cs="Times New Roman"/>
          <w:sz w:val="24"/>
          <w:szCs w:val="24"/>
        </w:rPr>
      </w:pPr>
    </w:p>
    <w:p w14:paraId="024B813D" w14:textId="77777777" w:rsidR="009F3AEA" w:rsidRDefault="009F3AEA">
      <w:pPr>
        <w:jc w:val="center"/>
        <w:rPr>
          <w:rFonts w:ascii="Times New Roman" w:eastAsia="Times New Roman" w:hAnsi="Times New Roman" w:cs="Times New Roman"/>
          <w:b/>
          <w:sz w:val="24"/>
          <w:szCs w:val="24"/>
        </w:rPr>
      </w:pPr>
    </w:p>
    <w:p w14:paraId="25A9BFE1" w14:textId="77777777"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Vijeća predlaže dopunu dnevnog reda sa sljedećim točkama:</w:t>
      </w:r>
    </w:p>
    <w:p w14:paraId="7C32CF7D" w14:textId="77777777" w:rsidR="009F3AEA" w:rsidRDefault="00A52B9C">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stanje na uglu Đorđićeve ulice i Ulice kneza Mutimira i novo asfaltiranje, </w:t>
      </w:r>
      <w:r>
        <w:rPr>
          <w:rFonts w:ascii="Times New Roman" w:eastAsia="Times New Roman" w:hAnsi="Times New Roman" w:cs="Times New Roman"/>
          <w:i/>
          <w:sz w:val="24"/>
          <w:szCs w:val="24"/>
        </w:rPr>
        <w:t>donošenje zaključka;</w:t>
      </w:r>
    </w:p>
    <w:p w14:paraId="444EDA75" w14:textId="77777777" w:rsidR="009F3AEA" w:rsidRDefault="00A52B9C">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micanje stupića ispred Doma specijalne policije, Trg žrtava fašizma 1,  </w:t>
      </w:r>
      <w:r>
        <w:rPr>
          <w:rFonts w:ascii="Times New Roman" w:eastAsia="Times New Roman" w:hAnsi="Times New Roman" w:cs="Times New Roman"/>
          <w:i/>
          <w:sz w:val="24"/>
          <w:szCs w:val="24"/>
        </w:rPr>
        <w:t>donošenje zaključka;</w:t>
      </w:r>
    </w:p>
    <w:p w14:paraId="201F91A6" w14:textId="77777777" w:rsidR="009F3AEA" w:rsidRDefault="00A52B9C">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postavljanje znaka zabrane parkiranja kod zelenog otoka na uglu Đorđićeve ulice i Ulice kneza Mutimira, </w:t>
      </w:r>
      <w:r>
        <w:rPr>
          <w:rFonts w:ascii="Times New Roman" w:eastAsia="Times New Roman" w:hAnsi="Times New Roman" w:cs="Times New Roman"/>
          <w:i/>
          <w:sz w:val="24"/>
          <w:szCs w:val="24"/>
        </w:rPr>
        <w:t>donošenje zaključka</w:t>
      </w:r>
    </w:p>
    <w:p w14:paraId="76234A4B" w14:textId="77777777" w:rsidR="009F3AEA" w:rsidRDefault="009F3AEA">
      <w:pPr>
        <w:spacing w:line="240" w:lineRule="auto"/>
        <w:jc w:val="both"/>
        <w:rPr>
          <w:rFonts w:ascii="Times New Roman" w:eastAsia="Times New Roman" w:hAnsi="Times New Roman" w:cs="Times New Roman"/>
          <w:sz w:val="24"/>
          <w:szCs w:val="24"/>
        </w:rPr>
      </w:pPr>
    </w:p>
    <w:p w14:paraId="42E619E7" w14:textId="77777777" w:rsidR="009F3AEA" w:rsidRDefault="00A52B9C">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Prisutne članice Vijeća Mjesnog odbora „Hrvatski narodni vladari” nakon rasprave, jednoglasno donose sljedeći</w:t>
      </w:r>
    </w:p>
    <w:p w14:paraId="107C9A19" w14:textId="77777777" w:rsidR="009F3AEA" w:rsidRDefault="009F3AEA">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Times New Roman" w:eastAsia="Times New Roman" w:hAnsi="Times New Roman" w:cs="Times New Roman"/>
          <w:color w:val="000000"/>
          <w:sz w:val="24"/>
          <w:szCs w:val="24"/>
        </w:rPr>
      </w:pPr>
    </w:p>
    <w:p w14:paraId="17306922" w14:textId="77777777" w:rsidR="009F3AEA" w:rsidRDefault="009F3AEA">
      <w:pPr>
        <w:jc w:val="center"/>
        <w:rPr>
          <w:rFonts w:ascii="Times New Roman" w:eastAsia="Times New Roman" w:hAnsi="Times New Roman" w:cs="Times New Roman"/>
          <w:b/>
          <w:sz w:val="24"/>
          <w:szCs w:val="24"/>
        </w:rPr>
      </w:pPr>
    </w:p>
    <w:p w14:paraId="373DEBBC" w14:textId="77777777" w:rsidR="009F3AEA" w:rsidRDefault="009F3AEA">
      <w:pPr>
        <w:jc w:val="center"/>
        <w:rPr>
          <w:rFonts w:ascii="Times New Roman" w:eastAsia="Times New Roman" w:hAnsi="Times New Roman" w:cs="Times New Roman"/>
          <w:b/>
          <w:sz w:val="24"/>
          <w:szCs w:val="24"/>
        </w:rPr>
      </w:pPr>
    </w:p>
    <w:p w14:paraId="5D894F7B" w14:textId="77777777" w:rsidR="009F3AEA" w:rsidRDefault="00A52B9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DNEVNI RED:</w:t>
      </w:r>
    </w:p>
    <w:p w14:paraId="77BB06C2" w14:textId="77777777" w:rsidR="009F3AEA" w:rsidRDefault="009F3AEA">
      <w:pPr>
        <w:rPr>
          <w:rFonts w:ascii="Times New Roman" w:eastAsia="Times New Roman" w:hAnsi="Times New Roman" w:cs="Times New Roman"/>
          <w:sz w:val="24"/>
          <w:szCs w:val="24"/>
        </w:rPr>
      </w:pPr>
    </w:p>
    <w:p w14:paraId="5CFF41F4" w14:textId="77777777" w:rsidR="009F3AEA" w:rsidRDefault="00A52B9C">
      <w:pPr>
        <w:spacing w:line="240" w:lineRule="auto"/>
        <w:ind w:left="644"/>
        <w:rPr>
          <w:rFonts w:ascii="Times New Roman" w:eastAsia="Times New Roman" w:hAnsi="Times New Roman" w:cs="Times New Roman"/>
          <w:sz w:val="24"/>
          <w:szCs w:val="24"/>
        </w:rPr>
      </w:pPr>
      <w:r>
        <w:rPr>
          <w:rFonts w:ascii="Times New Roman" w:eastAsia="Times New Roman" w:hAnsi="Times New Roman" w:cs="Times New Roman"/>
          <w:sz w:val="24"/>
          <w:szCs w:val="24"/>
        </w:rPr>
        <w:t>1. Izvješće o radu Vijeća Mjesnog odbora „Hrvatski narodni vladari“ za 2022.</w:t>
      </w:r>
    </w:p>
    <w:p w14:paraId="479202AF" w14:textId="77777777" w:rsidR="009F3AEA" w:rsidRDefault="009F3AEA">
      <w:pPr>
        <w:spacing w:line="240" w:lineRule="auto"/>
        <w:ind w:left="644"/>
        <w:rPr>
          <w:rFonts w:ascii="Times New Roman" w:eastAsia="Times New Roman" w:hAnsi="Times New Roman" w:cs="Times New Roman"/>
          <w:sz w:val="24"/>
          <w:szCs w:val="24"/>
        </w:rPr>
      </w:pPr>
    </w:p>
    <w:p w14:paraId="477DD3A2" w14:textId="77777777" w:rsidR="009F3AEA" w:rsidRDefault="00A52B9C">
      <w:pPr>
        <w:spacing w:line="240" w:lineRule="auto"/>
        <w:ind w:left="644"/>
        <w:rPr>
          <w:rFonts w:ascii="Times New Roman" w:eastAsia="Times New Roman" w:hAnsi="Times New Roman" w:cs="Times New Roman"/>
          <w:sz w:val="24"/>
          <w:szCs w:val="24"/>
        </w:rPr>
      </w:pPr>
      <w:r>
        <w:rPr>
          <w:rFonts w:ascii="Times New Roman" w:eastAsia="Times New Roman" w:hAnsi="Times New Roman" w:cs="Times New Roman"/>
          <w:sz w:val="24"/>
          <w:szCs w:val="24"/>
        </w:rPr>
        <w:t>2. Program rada Vijeća Mjesnog odbora „Hrvatski narodni vladari“ za 2023.</w:t>
      </w:r>
    </w:p>
    <w:p w14:paraId="412CC272" w14:textId="77777777" w:rsidR="009F3AEA" w:rsidRDefault="009F3AEA">
      <w:pPr>
        <w:spacing w:line="240" w:lineRule="auto"/>
        <w:ind w:left="644"/>
        <w:rPr>
          <w:rFonts w:ascii="Times New Roman" w:eastAsia="Times New Roman" w:hAnsi="Times New Roman" w:cs="Times New Roman"/>
          <w:sz w:val="24"/>
          <w:szCs w:val="24"/>
        </w:rPr>
      </w:pPr>
    </w:p>
    <w:p w14:paraId="6D2C6C06" w14:textId="77777777" w:rsidR="009F3AEA" w:rsidRDefault="00A52B9C">
      <w:pPr>
        <w:spacing w:line="240" w:lineRule="auto"/>
        <w:ind w:left="644"/>
        <w:rPr>
          <w:rFonts w:ascii="Times New Roman" w:eastAsia="Times New Roman" w:hAnsi="Times New Roman" w:cs="Times New Roman"/>
          <w:sz w:val="24"/>
          <w:szCs w:val="24"/>
        </w:rPr>
      </w:pPr>
      <w:r>
        <w:rPr>
          <w:rFonts w:ascii="Times New Roman" w:eastAsia="Times New Roman" w:hAnsi="Times New Roman" w:cs="Times New Roman"/>
          <w:sz w:val="24"/>
          <w:szCs w:val="24"/>
        </w:rPr>
        <w:t>3. Zaključak o prijedlogu utroška sredstava sa pozicije Ostali nespomenuti rashodi</w:t>
      </w:r>
    </w:p>
    <w:p w14:paraId="5C390F80" w14:textId="77777777" w:rsidR="009F3AEA" w:rsidRDefault="00A52B9C">
      <w:pPr>
        <w:spacing w:line="240" w:lineRule="auto"/>
        <w:ind w:left="644"/>
        <w:rPr>
          <w:rFonts w:ascii="Times New Roman" w:eastAsia="Times New Roman" w:hAnsi="Times New Roman" w:cs="Times New Roman"/>
          <w:sz w:val="24"/>
          <w:szCs w:val="24"/>
        </w:rPr>
      </w:pPr>
      <w:r>
        <w:rPr>
          <w:rFonts w:ascii="Times New Roman" w:eastAsia="Times New Roman" w:hAnsi="Times New Roman" w:cs="Times New Roman"/>
          <w:sz w:val="24"/>
          <w:szCs w:val="24"/>
        </w:rPr>
        <w:t>poslovanja Vijeća Mjesnog odbora „Hrvatski narodni vladari“ za 2023.</w:t>
      </w:r>
    </w:p>
    <w:p w14:paraId="14147BF1" w14:textId="77777777" w:rsidR="009F3AEA" w:rsidRDefault="009F3AEA">
      <w:pPr>
        <w:spacing w:line="240" w:lineRule="auto"/>
        <w:ind w:left="644"/>
        <w:rPr>
          <w:rFonts w:ascii="Times New Roman" w:eastAsia="Times New Roman" w:hAnsi="Times New Roman" w:cs="Times New Roman"/>
          <w:sz w:val="24"/>
          <w:szCs w:val="24"/>
        </w:rPr>
      </w:pPr>
    </w:p>
    <w:p w14:paraId="70E3893D" w14:textId="77777777" w:rsidR="009F3AEA" w:rsidRPr="00133001" w:rsidRDefault="00A52B9C">
      <w:pPr>
        <w:spacing w:line="240" w:lineRule="auto"/>
        <w:ind w:left="644"/>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4. Korištenje prostora Mjesnog odbora „Hrvatski narodni vladari“ – </w:t>
      </w:r>
      <w:r w:rsidRPr="00133001">
        <w:rPr>
          <w:rFonts w:ascii="Times New Roman" w:eastAsia="Times New Roman" w:hAnsi="Times New Roman" w:cs="Times New Roman"/>
          <w:i/>
          <w:iCs/>
          <w:sz w:val="24"/>
          <w:szCs w:val="24"/>
        </w:rPr>
        <w:t>donošenje</w:t>
      </w:r>
    </w:p>
    <w:p w14:paraId="6414EE4E" w14:textId="77777777" w:rsidR="009F3AEA" w:rsidRPr="00133001" w:rsidRDefault="00A52B9C">
      <w:pPr>
        <w:spacing w:line="240" w:lineRule="auto"/>
        <w:ind w:left="644"/>
        <w:rPr>
          <w:rFonts w:ascii="Times New Roman" w:eastAsia="Times New Roman" w:hAnsi="Times New Roman" w:cs="Times New Roman"/>
          <w:i/>
          <w:iCs/>
          <w:sz w:val="24"/>
          <w:szCs w:val="24"/>
        </w:rPr>
      </w:pPr>
      <w:r w:rsidRPr="00133001">
        <w:rPr>
          <w:rFonts w:ascii="Times New Roman" w:eastAsia="Times New Roman" w:hAnsi="Times New Roman" w:cs="Times New Roman"/>
          <w:i/>
          <w:iCs/>
          <w:sz w:val="24"/>
          <w:szCs w:val="24"/>
        </w:rPr>
        <w:t>zaključaka</w:t>
      </w:r>
    </w:p>
    <w:p w14:paraId="12071E00" w14:textId="77777777" w:rsidR="009F3AEA" w:rsidRDefault="009F3AEA">
      <w:pPr>
        <w:spacing w:line="240" w:lineRule="auto"/>
        <w:ind w:left="644"/>
        <w:rPr>
          <w:rFonts w:ascii="Times New Roman" w:eastAsia="Times New Roman" w:hAnsi="Times New Roman" w:cs="Times New Roman"/>
          <w:sz w:val="24"/>
          <w:szCs w:val="24"/>
        </w:rPr>
      </w:pPr>
    </w:p>
    <w:p w14:paraId="36169C8C" w14:textId="77777777" w:rsidR="009F3AEA" w:rsidRDefault="00A52B9C">
      <w:pPr>
        <w:spacing w:line="240" w:lineRule="auto"/>
        <w:ind w:left="644"/>
        <w:rPr>
          <w:rFonts w:ascii="Times New Roman" w:eastAsia="Times New Roman" w:hAnsi="Times New Roman" w:cs="Times New Roman"/>
          <w:sz w:val="24"/>
          <w:szCs w:val="24"/>
        </w:rPr>
      </w:pPr>
      <w:r>
        <w:rPr>
          <w:rFonts w:ascii="Times New Roman" w:eastAsia="Times New Roman" w:hAnsi="Times New Roman" w:cs="Times New Roman"/>
          <w:sz w:val="24"/>
          <w:szCs w:val="24"/>
        </w:rPr>
        <w:t>5. Prijedlog Odluke o izradi izmjena i dopuna Generalnog urbanističkog plana Grada</w:t>
      </w:r>
    </w:p>
    <w:p w14:paraId="1C8089B1" w14:textId="77777777" w:rsidR="009F3AEA" w:rsidRDefault="00A52B9C">
      <w:pPr>
        <w:spacing w:line="240" w:lineRule="auto"/>
        <w:ind w:left="6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Zagreba, </w:t>
      </w:r>
      <w:r w:rsidRPr="00133001">
        <w:rPr>
          <w:rFonts w:ascii="Times New Roman" w:eastAsia="Times New Roman" w:hAnsi="Times New Roman" w:cs="Times New Roman"/>
          <w:i/>
          <w:iCs/>
          <w:sz w:val="24"/>
          <w:szCs w:val="24"/>
        </w:rPr>
        <w:t>mišljenje, daje se</w:t>
      </w:r>
    </w:p>
    <w:p w14:paraId="0A2F152F" w14:textId="77777777" w:rsidR="009F3AEA" w:rsidRDefault="009F3AEA">
      <w:pPr>
        <w:spacing w:line="240" w:lineRule="auto"/>
        <w:ind w:left="644"/>
        <w:rPr>
          <w:rFonts w:ascii="Times New Roman" w:eastAsia="Times New Roman" w:hAnsi="Times New Roman" w:cs="Times New Roman"/>
          <w:sz w:val="24"/>
          <w:szCs w:val="24"/>
        </w:rPr>
      </w:pPr>
    </w:p>
    <w:p w14:paraId="4B4C634C" w14:textId="77777777" w:rsidR="009F3AEA" w:rsidRDefault="00A52B9C">
      <w:pPr>
        <w:spacing w:line="240" w:lineRule="auto"/>
        <w:ind w:left="644"/>
        <w:rPr>
          <w:rFonts w:ascii="Times New Roman" w:eastAsia="Times New Roman" w:hAnsi="Times New Roman" w:cs="Times New Roman"/>
          <w:sz w:val="24"/>
          <w:szCs w:val="24"/>
        </w:rPr>
      </w:pPr>
      <w:r>
        <w:rPr>
          <w:rFonts w:ascii="Times New Roman" w:eastAsia="Times New Roman" w:hAnsi="Times New Roman" w:cs="Times New Roman"/>
          <w:sz w:val="24"/>
          <w:szCs w:val="24"/>
        </w:rPr>
        <w:t>6. Prijedlog Odluke o izradi izmjena i dopuna Generalnog urbanističkog plana Sesveta,</w:t>
      </w:r>
    </w:p>
    <w:p w14:paraId="4C8A2F6E" w14:textId="77777777" w:rsidR="009F3AEA" w:rsidRPr="00133001" w:rsidRDefault="00A52B9C">
      <w:pPr>
        <w:spacing w:line="240" w:lineRule="auto"/>
        <w:ind w:left="644"/>
        <w:rPr>
          <w:rFonts w:ascii="Times New Roman" w:eastAsia="Times New Roman" w:hAnsi="Times New Roman" w:cs="Times New Roman"/>
          <w:i/>
          <w:iCs/>
          <w:sz w:val="24"/>
          <w:szCs w:val="24"/>
        </w:rPr>
      </w:pPr>
      <w:r w:rsidRPr="00133001">
        <w:rPr>
          <w:rFonts w:ascii="Times New Roman" w:eastAsia="Times New Roman" w:hAnsi="Times New Roman" w:cs="Times New Roman"/>
          <w:i/>
          <w:iCs/>
          <w:sz w:val="24"/>
          <w:szCs w:val="24"/>
        </w:rPr>
        <w:t>mišljenje, daje se</w:t>
      </w:r>
    </w:p>
    <w:p w14:paraId="6C4A5A1D" w14:textId="77777777" w:rsidR="009F3AEA" w:rsidRDefault="009F3AEA">
      <w:pPr>
        <w:spacing w:line="240" w:lineRule="auto"/>
        <w:ind w:left="644"/>
        <w:rPr>
          <w:rFonts w:ascii="Times New Roman" w:eastAsia="Times New Roman" w:hAnsi="Times New Roman" w:cs="Times New Roman"/>
          <w:sz w:val="24"/>
          <w:szCs w:val="24"/>
        </w:rPr>
      </w:pPr>
    </w:p>
    <w:p w14:paraId="7B6FEB7D" w14:textId="72FF8FC1" w:rsidR="009F3AEA" w:rsidRDefault="00A52B9C">
      <w:pPr>
        <w:spacing w:line="240" w:lineRule="auto"/>
        <w:ind w:left="720"/>
        <w:jc w:val="both"/>
        <w:rPr>
          <w:rFonts w:ascii="Times New Roman" w:eastAsia="Times New Roman" w:hAnsi="Times New Roman" w:cs="Times New Roman"/>
          <w:i/>
          <w:sz w:val="24"/>
          <w:szCs w:val="24"/>
        </w:rPr>
      </w:pPr>
      <w:bookmarkStart w:id="1" w:name="_heading=h.5qinx15e9bc4" w:colFirst="0" w:colLast="0"/>
      <w:bookmarkEnd w:id="1"/>
      <w:r>
        <w:rPr>
          <w:rFonts w:ascii="Times New Roman" w:eastAsia="Times New Roman" w:hAnsi="Times New Roman" w:cs="Times New Roman"/>
          <w:sz w:val="24"/>
          <w:szCs w:val="24"/>
        </w:rPr>
        <w:t xml:space="preserve">7. </w:t>
      </w:r>
      <w:r w:rsidR="00FF1B06">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tanje na uglu Đorđićeve ulice i Ulice kneza Mutimira i novo asfaltiranje, </w:t>
      </w:r>
      <w:r>
        <w:rPr>
          <w:rFonts w:ascii="Times New Roman" w:eastAsia="Times New Roman" w:hAnsi="Times New Roman" w:cs="Times New Roman"/>
          <w:i/>
          <w:sz w:val="24"/>
          <w:szCs w:val="24"/>
        </w:rPr>
        <w:t>donošenje zaključka;</w:t>
      </w:r>
    </w:p>
    <w:p w14:paraId="0FAA1C6A" w14:textId="77777777" w:rsidR="009F3AEA" w:rsidRDefault="009F3AEA">
      <w:pPr>
        <w:spacing w:line="240" w:lineRule="auto"/>
        <w:ind w:left="720"/>
        <w:jc w:val="both"/>
        <w:rPr>
          <w:rFonts w:ascii="Times New Roman" w:eastAsia="Times New Roman" w:hAnsi="Times New Roman" w:cs="Times New Roman"/>
          <w:sz w:val="24"/>
          <w:szCs w:val="24"/>
        </w:rPr>
      </w:pPr>
      <w:bookmarkStart w:id="2" w:name="_heading=h.xvrclk4237c" w:colFirst="0" w:colLast="0"/>
      <w:bookmarkEnd w:id="2"/>
    </w:p>
    <w:p w14:paraId="0C10C7AE" w14:textId="5ACF7596" w:rsidR="009F3AEA" w:rsidRDefault="00A52B9C">
      <w:pPr>
        <w:spacing w:line="240" w:lineRule="auto"/>
        <w:ind w:left="720"/>
        <w:jc w:val="both"/>
        <w:rPr>
          <w:rFonts w:ascii="Times New Roman" w:eastAsia="Times New Roman" w:hAnsi="Times New Roman" w:cs="Times New Roman"/>
          <w:sz w:val="24"/>
          <w:szCs w:val="24"/>
        </w:rPr>
      </w:pPr>
      <w:bookmarkStart w:id="3" w:name="_heading=h.30j0zll" w:colFirst="0" w:colLast="0"/>
      <w:bookmarkEnd w:id="3"/>
      <w:r>
        <w:rPr>
          <w:rFonts w:ascii="Times New Roman" w:eastAsia="Times New Roman" w:hAnsi="Times New Roman" w:cs="Times New Roman"/>
          <w:sz w:val="24"/>
          <w:szCs w:val="24"/>
        </w:rPr>
        <w:t xml:space="preserve">8. </w:t>
      </w:r>
      <w:r w:rsidR="00FF1B06">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icanje stupića ispred Doma specijalne policije, Trg žrtava fašizma 1,  </w:t>
      </w:r>
      <w:r>
        <w:rPr>
          <w:rFonts w:ascii="Times New Roman" w:eastAsia="Times New Roman" w:hAnsi="Times New Roman" w:cs="Times New Roman"/>
          <w:i/>
          <w:sz w:val="24"/>
          <w:szCs w:val="24"/>
        </w:rPr>
        <w:t>donošenje zaključka;</w:t>
      </w:r>
    </w:p>
    <w:p w14:paraId="7AC92863" w14:textId="77777777" w:rsidR="009F3AEA" w:rsidRDefault="009F3AEA">
      <w:pPr>
        <w:spacing w:line="240" w:lineRule="auto"/>
        <w:ind w:left="720"/>
        <w:jc w:val="both"/>
        <w:rPr>
          <w:rFonts w:ascii="Times New Roman" w:eastAsia="Times New Roman" w:hAnsi="Times New Roman" w:cs="Times New Roman"/>
          <w:sz w:val="24"/>
          <w:szCs w:val="24"/>
        </w:rPr>
      </w:pPr>
    </w:p>
    <w:p w14:paraId="121F576D" w14:textId="76CA8E20" w:rsidR="009F3AEA" w:rsidRDefault="00A52B9C">
      <w:pPr>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sidR="00FF1B06">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ostavljanje znaka zabrane parkiranja kod zelenog otoka na uglu Đorđićeve ulice i Ulice kneza Mutimira, </w:t>
      </w:r>
      <w:r>
        <w:rPr>
          <w:rFonts w:ascii="Times New Roman" w:eastAsia="Times New Roman" w:hAnsi="Times New Roman" w:cs="Times New Roman"/>
          <w:i/>
          <w:sz w:val="24"/>
          <w:szCs w:val="24"/>
        </w:rPr>
        <w:t>donošenje zaključka</w:t>
      </w:r>
    </w:p>
    <w:p w14:paraId="5769B502" w14:textId="77777777" w:rsidR="009F3AEA" w:rsidRDefault="009F3AEA">
      <w:pPr>
        <w:spacing w:line="240" w:lineRule="auto"/>
        <w:ind w:left="644"/>
        <w:rPr>
          <w:rFonts w:ascii="Times New Roman" w:eastAsia="Times New Roman" w:hAnsi="Times New Roman" w:cs="Times New Roman"/>
          <w:sz w:val="24"/>
          <w:szCs w:val="24"/>
        </w:rPr>
      </w:pPr>
    </w:p>
    <w:p w14:paraId="0D51E15A" w14:textId="77777777" w:rsidR="009F3AEA" w:rsidRDefault="00A52B9C">
      <w:pPr>
        <w:spacing w:line="240" w:lineRule="auto"/>
        <w:ind w:left="644"/>
        <w:rPr>
          <w:rFonts w:ascii="Times New Roman" w:eastAsia="Times New Roman" w:hAnsi="Times New Roman" w:cs="Times New Roman"/>
          <w:sz w:val="24"/>
          <w:szCs w:val="24"/>
        </w:rPr>
      </w:pPr>
      <w:r>
        <w:rPr>
          <w:rFonts w:ascii="Times New Roman" w:eastAsia="Times New Roman" w:hAnsi="Times New Roman" w:cs="Times New Roman"/>
          <w:sz w:val="24"/>
          <w:szCs w:val="24"/>
        </w:rPr>
        <w:t>10.  Razno</w:t>
      </w:r>
    </w:p>
    <w:p w14:paraId="193EE216" w14:textId="77777777" w:rsidR="009F3AEA" w:rsidRDefault="009F3AEA">
      <w:pPr>
        <w:pBdr>
          <w:top w:val="nil"/>
          <w:left w:val="nil"/>
          <w:bottom w:val="nil"/>
          <w:right w:val="nil"/>
          <w:between w:val="nil"/>
        </w:pBdr>
        <w:spacing w:line="240" w:lineRule="auto"/>
        <w:ind w:left="644"/>
        <w:jc w:val="both"/>
        <w:rPr>
          <w:rFonts w:ascii="Times New Roman" w:eastAsia="Times New Roman" w:hAnsi="Times New Roman" w:cs="Times New Roman"/>
          <w:sz w:val="24"/>
          <w:szCs w:val="24"/>
        </w:rPr>
      </w:pPr>
    </w:p>
    <w:p w14:paraId="1C7415CD" w14:textId="77777777" w:rsidR="009F3AEA" w:rsidRDefault="009F3AEA">
      <w:pPr>
        <w:spacing w:line="240" w:lineRule="auto"/>
        <w:jc w:val="both"/>
        <w:rPr>
          <w:rFonts w:ascii="Times New Roman" w:eastAsia="Times New Roman" w:hAnsi="Times New Roman" w:cs="Times New Roman"/>
          <w:sz w:val="24"/>
          <w:szCs w:val="24"/>
        </w:rPr>
      </w:pPr>
    </w:p>
    <w:p w14:paraId="2C75089B" w14:textId="77777777" w:rsidR="009F3AEA" w:rsidRDefault="009F3AEA">
      <w:pPr>
        <w:spacing w:line="240" w:lineRule="auto"/>
        <w:jc w:val="center"/>
        <w:rPr>
          <w:rFonts w:ascii="Times New Roman" w:eastAsia="Times New Roman" w:hAnsi="Times New Roman" w:cs="Times New Roman"/>
          <w:sz w:val="24"/>
          <w:szCs w:val="24"/>
        </w:rPr>
      </w:pPr>
    </w:p>
    <w:p w14:paraId="20D7DF74" w14:textId="77777777"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Ad 1. </w:t>
      </w:r>
      <w:bookmarkStart w:id="4" w:name="_Hlk132880792"/>
      <w:r>
        <w:rPr>
          <w:rFonts w:ascii="Times New Roman" w:eastAsia="Times New Roman" w:hAnsi="Times New Roman" w:cs="Times New Roman"/>
          <w:b/>
          <w:sz w:val="24"/>
          <w:szCs w:val="24"/>
        </w:rPr>
        <w:t>Izvješće o radu Vijeća Mjesnog odbora „Hrvatski narodni vladari“ za 2022.</w:t>
      </w:r>
      <w:bookmarkEnd w:id="4"/>
    </w:p>
    <w:p w14:paraId="5588407D" w14:textId="6E81CE4F" w:rsidR="00FF1B06" w:rsidRDefault="00FF1B06">
      <w:pPr>
        <w:rPr>
          <w:rFonts w:ascii="Times New Roman" w:eastAsia="Times New Roman" w:hAnsi="Times New Roman" w:cs="Times New Roman"/>
          <w:sz w:val="24"/>
          <w:szCs w:val="24"/>
        </w:rPr>
      </w:pPr>
      <w:r>
        <w:rPr>
          <w:rFonts w:ascii="Times New Roman" w:eastAsia="Times New Roman" w:hAnsi="Times New Roman" w:cs="Times New Roman"/>
          <w:sz w:val="24"/>
          <w:szCs w:val="24"/>
        </w:rPr>
        <w:t>Vijeće, nakon rasprave, jednoglasno donosi</w:t>
      </w:r>
    </w:p>
    <w:p w14:paraId="34AE39BC" w14:textId="1AE9A2C9" w:rsidR="00FF1B06" w:rsidRDefault="00FF1B06">
      <w:pPr>
        <w:rPr>
          <w:rFonts w:ascii="Times New Roman" w:eastAsia="Times New Roman" w:hAnsi="Times New Roman" w:cs="Times New Roman"/>
          <w:sz w:val="24"/>
          <w:szCs w:val="24"/>
        </w:rPr>
      </w:pPr>
    </w:p>
    <w:p w14:paraId="1FF87E4C" w14:textId="77777777" w:rsidR="00FF1B06" w:rsidRPr="00FF1B06" w:rsidRDefault="00FF1B06" w:rsidP="00FF1B06">
      <w:pPr>
        <w:spacing w:after="160"/>
        <w:jc w:val="center"/>
        <w:rPr>
          <w:rFonts w:ascii="Times New Roman" w:eastAsia="Calibri" w:hAnsi="Times New Roman" w:cs="Times New Roman"/>
          <w:b/>
          <w:bCs/>
          <w:sz w:val="24"/>
          <w:lang w:eastAsia="en-US"/>
        </w:rPr>
      </w:pPr>
      <w:r w:rsidRPr="00FF1B06">
        <w:rPr>
          <w:rFonts w:ascii="Times New Roman" w:eastAsia="Calibri" w:hAnsi="Times New Roman" w:cs="Times New Roman"/>
          <w:b/>
          <w:bCs/>
          <w:sz w:val="24"/>
          <w:lang w:eastAsia="en-US"/>
        </w:rPr>
        <w:t>IZVJEŠĆE O RADU</w:t>
      </w:r>
    </w:p>
    <w:p w14:paraId="1B11EE06" w14:textId="77777777" w:rsidR="00FF1B06" w:rsidRPr="00FF1B06" w:rsidRDefault="00FF1B06" w:rsidP="00FF1B06">
      <w:pPr>
        <w:spacing w:after="160"/>
        <w:jc w:val="center"/>
        <w:rPr>
          <w:rFonts w:ascii="Times New Roman" w:eastAsia="Calibri" w:hAnsi="Times New Roman" w:cs="Times New Roman"/>
          <w:b/>
          <w:bCs/>
          <w:sz w:val="24"/>
          <w:lang w:eastAsia="en-US"/>
        </w:rPr>
      </w:pPr>
      <w:r w:rsidRPr="00FF1B06">
        <w:rPr>
          <w:rFonts w:ascii="Times New Roman" w:eastAsia="Calibri" w:hAnsi="Times New Roman" w:cs="Times New Roman"/>
          <w:b/>
          <w:bCs/>
          <w:sz w:val="24"/>
          <w:lang w:eastAsia="en-US"/>
        </w:rPr>
        <w:t>Vijeća Mjesnog odbora „Hrvatski narodni vladari“ za  2022. godinu</w:t>
      </w:r>
    </w:p>
    <w:p w14:paraId="14A42103" w14:textId="53BB5A69" w:rsidR="009F3AEA" w:rsidRDefault="00A52B9C" w:rsidP="00FF1B0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 2022. godini Vijeće Mjesnog odbora održalo je ukupno 11 sjednica. Osnovne djelatnosti bile su usmjerene na poboljšanje infrastrukturnih problema, donošenje akata Vijeća i sudjelovanje u donošenju odluka Skupštine Grada, gradonačelnika i gradskih upravnih tijela.</w:t>
      </w:r>
    </w:p>
    <w:p w14:paraId="77932895" w14:textId="77777777" w:rsidR="009F3AEA" w:rsidRDefault="009F3AEA" w:rsidP="00FF1B06">
      <w:pPr>
        <w:jc w:val="both"/>
        <w:rPr>
          <w:rFonts w:ascii="Times New Roman" w:eastAsia="Times New Roman" w:hAnsi="Times New Roman" w:cs="Times New Roman"/>
          <w:sz w:val="24"/>
          <w:szCs w:val="24"/>
        </w:rPr>
      </w:pPr>
    </w:p>
    <w:p w14:paraId="6388DAAE" w14:textId="0630F55A" w:rsidR="009F3AEA" w:rsidRDefault="00A52B9C" w:rsidP="00FF1B0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Vijeće je donoseći zaključke nastojalo što uspješnije pridonositi rješavanju problema svih građana na svom području. Na sjednicama se raspravljalo o različitim problemima i prijedlozima koje su davala </w:t>
      </w:r>
      <w:r w:rsidR="00570C63">
        <w:rPr>
          <w:rFonts w:ascii="Times New Roman" w:eastAsia="Times New Roman" w:hAnsi="Times New Roman" w:cs="Times New Roman"/>
          <w:sz w:val="24"/>
          <w:szCs w:val="24"/>
        </w:rPr>
        <w:t>V</w:t>
      </w:r>
      <w:r>
        <w:rPr>
          <w:rFonts w:ascii="Times New Roman" w:eastAsia="Times New Roman" w:hAnsi="Times New Roman" w:cs="Times New Roman"/>
          <w:sz w:val="24"/>
          <w:szCs w:val="24"/>
        </w:rPr>
        <w:t>ijeća mjesnih odbora, građani, udruge građana i institucije kao što su škole, dječji vrtići i slično.</w:t>
      </w:r>
    </w:p>
    <w:p w14:paraId="143A3D79" w14:textId="77777777" w:rsidR="009F3AEA" w:rsidRDefault="009F3AEA" w:rsidP="00FF1B06">
      <w:pPr>
        <w:jc w:val="both"/>
        <w:rPr>
          <w:rFonts w:ascii="Times New Roman" w:eastAsia="Times New Roman" w:hAnsi="Times New Roman" w:cs="Times New Roman"/>
          <w:sz w:val="24"/>
          <w:szCs w:val="24"/>
        </w:rPr>
      </w:pPr>
    </w:p>
    <w:p w14:paraId="195512E4" w14:textId="1DA06D5B" w:rsidR="009F3AEA" w:rsidRDefault="00A52B9C" w:rsidP="00FF1B0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Jedna od glavnih aktivnosti </w:t>
      </w:r>
      <w:r w:rsidR="00570C63">
        <w:rPr>
          <w:rFonts w:ascii="Times New Roman" w:eastAsia="Times New Roman" w:hAnsi="Times New Roman" w:cs="Times New Roman"/>
          <w:sz w:val="24"/>
          <w:szCs w:val="24"/>
        </w:rPr>
        <w:t>članica Vijeća</w:t>
      </w:r>
      <w:r>
        <w:rPr>
          <w:rFonts w:ascii="Times New Roman" w:eastAsia="Times New Roman" w:hAnsi="Times New Roman" w:cs="Times New Roman"/>
          <w:sz w:val="24"/>
          <w:szCs w:val="24"/>
        </w:rPr>
        <w:t xml:space="preserve"> u 2022. bilo je uspostaviti sustav praćenja stanja na terenu, koji se prije svega ticao:</w:t>
      </w:r>
    </w:p>
    <w:p w14:paraId="6FC276B0" w14:textId="77777777" w:rsidR="009F3AEA" w:rsidRDefault="009F3AEA" w:rsidP="00FF1B06">
      <w:pPr>
        <w:jc w:val="both"/>
        <w:rPr>
          <w:rFonts w:ascii="Times New Roman" w:eastAsia="Times New Roman" w:hAnsi="Times New Roman" w:cs="Times New Roman"/>
          <w:sz w:val="24"/>
          <w:szCs w:val="24"/>
        </w:rPr>
      </w:pPr>
    </w:p>
    <w:p w14:paraId="1250312E" w14:textId="77777777" w:rsidR="009F3AEA" w:rsidRDefault="00A52B9C" w:rsidP="00FF1B0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stanja prometnica, kolnika i nogostupa (asfaltiranje, ali i obnavljanje signalizacije te parkirnih mjesta);</w:t>
      </w:r>
    </w:p>
    <w:p w14:paraId="297B7346" w14:textId="77777777" w:rsidR="009F3AEA" w:rsidRDefault="009F3AEA" w:rsidP="00FF1B06">
      <w:pPr>
        <w:jc w:val="both"/>
        <w:rPr>
          <w:rFonts w:ascii="Times New Roman" w:eastAsia="Times New Roman" w:hAnsi="Times New Roman" w:cs="Times New Roman"/>
          <w:sz w:val="24"/>
          <w:szCs w:val="24"/>
        </w:rPr>
      </w:pPr>
    </w:p>
    <w:p w14:paraId="00021BCD" w14:textId="77777777" w:rsidR="009F3AEA" w:rsidRDefault="00A52B9C" w:rsidP="00FF1B0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stanja zelenih površina na području Mjesnog odbora, od kojih su dvije, park u Iblerovom prolazu te zelena površina ispred Privredne banke Zagreb, bila dio Plana komunalnih aktivnosti te uređenja uspješno izvršena;</w:t>
      </w:r>
    </w:p>
    <w:p w14:paraId="6BF13301" w14:textId="77777777" w:rsidR="009F3AEA" w:rsidRDefault="009F3AEA" w:rsidP="00FF1B06">
      <w:pPr>
        <w:jc w:val="both"/>
        <w:rPr>
          <w:rFonts w:ascii="Times New Roman" w:eastAsia="Times New Roman" w:hAnsi="Times New Roman" w:cs="Times New Roman"/>
          <w:sz w:val="24"/>
          <w:szCs w:val="24"/>
        </w:rPr>
      </w:pPr>
    </w:p>
    <w:p w14:paraId="1F3E9BA9" w14:textId="6CA94D60" w:rsidR="009F3AEA" w:rsidRDefault="00A52B9C" w:rsidP="00FF1B0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komunikacije s ustanovama koje djeluju te </w:t>
      </w:r>
      <w:r w:rsidR="00FF1B06">
        <w:rPr>
          <w:rFonts w:ascii="Times New Roman" w:eastAsia="Times New Roman" w:hAnsi="Times New Roman" w:cs="Times New Roman"/>
          <w:sz w:val="24"/>
          <w:szCs w:val="24"/>
        </w:rPr>
        <w:t>pojedincima</w:t>
      </w:r>
      <w:r>
        <w:rPr>
          <w:rFonts w:ascii="Times New Roman" w:eastAsia="Times New Roman" w:hAnsi="Times New Roman" w:cs="Times New Roman"/>
          <w:sz w:val="24"/>
          <w:szCs w:val="24"/>
        </w:rPr>
        <w:t xml:space="preserve"> koji stanuju i koriste područje Mjesnog odbora te na taj način donosio zaključke kojima je bio cilj poboljšati život na području Mjesnog odbora;</w:t>
      </w:r>
    </w:p>
    <w:p w14:paraId="3FE67232" w14:textId="77777777" w:rsidR="009F3AEA" w:rsidRDefault="009F3AEA" w:rsidP="00FF1B06">
      <w:pPr>
        <w:jc w:val="both"/>
        <w:rPr>
          <w:rFonts w:ascii="Times New Roman" w:eastAsia="Times New Roman" w:hAnsi="Times New Roman" w:cs="Times New Roman"/>
          <w:sz w:val="24"/>
          <w:szCs w:val="24"/>
        </w:rPr>
      </w:pPr>
    </w:p>
    <w:p w14:paraId="06B7ACCD" w14:textId="668B6269" w:rsidR="009F3AEA" w:rsidRDefault="00A52B9C" w:rsidP="00FF1B0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sudjelovanja u kulturnim i društvenim manifestacija</w:t>
      </w:r>
      <w:r w:rsidR="00570C63">
        <w:rPr>
          <w:rFonts w:ascii="Times New Roman" w:eastAsia="Times New Roman" w:hAnsi="Times New Roman" w:cs="Times New Roman"/>
          <w:sz w:val="24"/>
          <w:szCs w:val="24"/>
        </w:rPr>
        <w:t>ma</w:t>
      </w:r>
      <w:r>
        <w:rPr>
          <w:rFonts w:ascii="Times New Roman" w:eastAsia="Times New Roman" w:hAnsi="Times New Roman" w:cs="Times New Roman"/>
          <w:sz w:val="24"/>
          <w:szCs w:val="24"/>
        </w:rPr>
        <w:t xml:space="preserve"> ovog i okolnih mjesnih odbora.</w:t>
      </w:r>
    </w:p>
    <w:p w14:paraId="4F6CF6A2" w14:textId="77777777" w:rsidR="009F3AEA" w:rsidRDefault="009F3AEA" w:rsidP="00FF1B06">
      <w:pPr>
        <w:jc w:val="both"/>
        <w:rPr>
          <w:rFonts w:ascii="Times New Roman" w:eastAsia="Times New Roman" w:hAnsi="Times New Roman" w:cs="Times New Roman"/>
          <w:sz w:val="24"/>
          <w:szCs w:val="24"/>
        </w:rPr>
      </w:pPr>
    </w:p>
    <w:p w14:paraId="223E8D9A" w14:textId="77777777" w:rsidR="009F3AEA" w:rsidRDefault="00A52B9C" w:rsidP="00FF1B0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PREDSJEDNICA VIJEĆA</w:t>
      </w:r>
    </w:p>
    <w:p w14:paraId="54CB243C" w14:textId="77777777" w:rsidR="009F3AEA" w:rsidRDefault="009F3AEA" w:rsidP="00FF1B06">
      <w:pPr>
        <w:jc w:val="both"/>
        <w:rPr>
          <w:rFonts w:ascii="Times New Roman" w:eastAsia="Times New Roman" w:hAnsi="Times New Roman" w:cs="Times New Roman"/>
          <w:b/>
          <w:sz w:val="24"/>
          <w:szCs w:val="24"/>
        </w:rPr>
      </w:pPr>
    </w:p>
    <w:p w14:paraId="103A0317" w14:textId="3A946DAD" w:rsidR="009F3AEA" w:rsidRDefault="00A52B9C" w:rsidP="00FF1B0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je redovito sazivala sjednice Vijeća, predlagala dnevni red i predsjedavala na svim sjednicama. Usko je surađivala s predsjednikom Gradske četvrti Donji grad u sastavljanju dnevnog reda, te prisustvovala sastancima koordinacije za rad </w:t>
      </w:r>
      <w:r w:rsidR="00570C63">
        <w:rPr>
          <w:rFonts w:ascii="Times New Roman" w:eastAsia="Times New Roman" w:hAnsi="Times New Roman" w:cs="Times New Roman"/>
          <w:sz w:val="24"/>
          <w:szCs w:val="24"/>
        </w:rPr>
        <w:t>V</w:t>
      </w:r>
      <w:r>
        <w:rPr>
          <w:rFonts w:ascii="Times New Roman" w:eastAsia="Times New Roman" w:hAnsi="Times New Roman" w:cs="Times New Roman"/>
          <w:sz w:val="24"/>
          <w:szCs w:val="24"/>
        </w:rPr>
        <w:t xml:space="preserve">ijeća mjesnih odbora. Koordinirala je rad </w:t>
      </w:r>
      <w:r w:rsidR="00570C63">
        <w:rPr>
          <w:rFonts w:ascii="Times New Roman" w:eastAsia="Times New Roman" w:hAnsi="Times New Roman" w:cs="Times New Roman"/>
          <w:sz w:val="24"/>
          <w:szCs w:val="24"/>
        </w:rPr>
        <w:t>V</w:t>
      </w:r>
      <w:r>
        <w:rPr>
          <w:rFonts w:ascii="Times New Roman" w:eastAsia="Times New Roman" w:hAnsi="Times New Roman" w:cs="Times New Roman"/>
          <w:sz w:val="24"/>
          <w:szCs w:val="24"/>
        </w:rPr>
        <w:t xml:space="preserve">ijeća, surađivala s </w:t>
      </w:r>
      <w:r w:rsidR="00570C63">
        <w:rPr>
          <w:rFonts w:ascii="Times New Roman" w:eastAsia="Times New Roman" w:hAnsi="Times New Roman" w:cs="Times New Roman"/>
          <w:sz w:val="24"/>
          <w:szCs w:val="24"/>
        </w:rPr>
        <w:t>V</w:t>
      </w:r>
      <w:r>
        <w:rPr>
          <w:rFonts w:ascii="Times New Roman" w:eastAsia="Times New Roman" w:hAnsi="Times New Roman" w:cs="Times New Roman"/>
          <w:sz w:val="24"/>
          <w:szCs w:val="24"/>
        </w:rPr>
        <w:t xml:space="preserve">ijećima graničnih mjesnih odbora, otvarala komunikaciju s različitim korisnicima prostora Mjesnog odbora i građanima. Obavještavala je </w:t>
      </w:r>
      <w:r w:rsidR="00570C63">
        <w:rPr>
          <w:rFonts w:ascii="Times New Roman" w:eastAsia="Times New Roman" w:hAnsi="Times New Roman" w:cs="Times New Roman"/>
          <w:sz w:val="24"/>
          <w:szCs w:val="24"/>
        </w:rPr>
        <w:t>član</w:t>
      </w:r>
      <w:r>
        <w:rPr>
          <w:rFonts w:ascii="Times New Roman" w:eastAsia="Times New Roman" w:hAnsi="Times New Roman" w:cs="Times New Roman"/>
          <w:sz w:val="24"/>
          <w:szCs w:val="24"/>
        </w:rPr>
        <w:t>ice</w:t>
      </w:r>
      <w:r w:rsidR="00570C63">
        <w:rPr>
          <w:rFonts w:ascii="Times New Roman" w:eastAsia="Times New Roman" w:hAnsi="Times New Roman" w:cs="Times New Roman"/>
          <w:sz w:val="24"/>
          <w:szCs w:val="24"/>
        </w:rPr>
        <w:t xml:space="preserve"> Vijeća</w:t>
      </w:r>
      <w:r>
        <w:rPr>
          <w:rFonts w:ascii="Times New Roman" w:eastAsia="Times New Roman" w:hAnsi="Times New Roman" w:cs="Times New Roman"/>
          <w:sz w:val="24"/>
          <w:szCs w:val="24"/>
        </w:rPr>
        <w:t xml:space="preserve"> o koordinaciji s predsjednikom Vijeća Gradske četvrti te predsjednika mjesnih odbora, komunikaciji sa stručnom službom Gradskog ureda za samoupravu</w:t>
      </w:r>
      <w:r w:rsidR="00570C63">
        <w:rPr>
          <w:rFonts w:ascii="Times New Roman" w:eastAsia="Times New Roman" w:hAnsi="Times New Roman" w:cs="Times New Roman"/>
          <w:sz w:val="24"/>
          <w:szCs w:val="24"/>
        </w:rPr>
        <w:t>, civilnu zaštitu i sigurnost</w:t>
      </w:r>
      <w:r>
        <w:rPr>
          <w:rFonts w:ascii="Times New Roman" w:eastAsia="Times New Roman" w:hAnsi="Times New Roman" w:cs="Times New Roman"/>
          <w:sz w:val="24"/>
          <w:szCs w:val="24"/>
        </w:rPr>
        <w:t xml:space="preserve"> te o procesima rješavanja detektiranih problema ili provođenju iniciranih projekata.</w:t>
      </w:r>
    </w:p>
    <w:p w14:paraId="1C955569" w14:textId="77777777" w:rsidR="009F3AEA" w:rsidRDefault="009F3AEA" w:rsidP="00FF1B06">
      <w:pPr>
        <w:jc w:val="both"/>
        <w:rPr>
          <w:rFonts w:ascii="Times New Roman" w:eastAsia="Times New Roman" w:hAnsi="Times New Roman" w:cs="Times New Roman"/>
          <w:sz w:val="24"/>
          <w:szCs w:val="24"/>
        </w:rPr>
      </w:pPr>
    </w:p>
    <w:p w14:paraId="27FA5EA2" w14:textId="77777777" w:rsidR="009F3AEA" w:rsidRDefault="00A52B9C" w:rsidP="00FF1B0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POTPREDSJEDNICA VIJEĆA</w:t>
      </w:r>
    </w:p>
    <w:p w14:paraId="4B0D3D40" w14:textId="77777777" w:rsidR="009F3AEA" w:rsidRDefault="009F3AEA" w:rsidP="00FF1B06">
      <w:pPr>
        <w:jc w:val="both"/>
        <w:rPr>
          <w:rFonts w:ascii="Times New Roman" w:eastAsia="Times New Roman" w:hAnsi="Times New Roman" w:cs="Times New Roman"/>
          <w:b/>
          <w:sz w:val="24"/>
          <w:szCs w:val="24"/>
        </w:rPr>
      </w:pPr>
    </w:p>
    <w:p w14:paraId="55F39644" w14:textId="77777777" w:rsidR="009F3AEA" w:rsidRDefault="00A52B9C" w:rsidP="00FF1B0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Pomagala je predsjednici Vijeća, te obavljala i sve poslove koji su joj se povjerili. Sudjelovala je u pripremi prioriteta za 2023. godinu. Pomagala u pripremi svake sjednice te bila zadužena za detaljne izvještaje sjednica. Mijenjala je predsjednicu u slučajevima spriječenosti. Donosila je prijedloge i obavljala različite terenske zadatke.</w:t>
      </w:r>
    </w:p>
    <w:p w14:paraId="7CD89C9F" w14:textId="77777777" w:rsidR="009F3AEA" w:rsidRDefault="009F3AEA" w:rsidP="00FF1B06">
      <w:pPr>
        <w:jc w:val="both"/>
        <w:rPr>
          <w:rFonts w:ascii="Times New Roman" w:eastAsia="Times New Roman" w:hAnsi="Times New Roman" w:cs="Times New Roman"/>
          <w:sz w:val="24"/>
          <w:szCs w:val="24"/>
        </w:rPr>
      </w:pPr>
    </w:p>
    <w:p w14:paraId="1CFD6B83" w14:textId="77777777" w:rsidR="009F3AEA" w:rsidRDefault="00A52B9C" w:rsidP="00FF1B0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ČLANICE VIJEĆA</w:t>
      </w:r>
    </w:p>
    <w:p w14:paraId="41123BDC" w14:textId="77777777" w:rsidR="009F3AEA" w:rsidRDefault="009F3AEA" w:rsidP="00FF1B06">
      <w:pPr>
        <w:jc w:val="both"/>
        <w:rPr>
          <w:rFonts w:ascii="Times New Roman" w:eastAsia="Times New Roman" w:hAnsi="Times New Roman" w:cs="Times New Roman"/>
          <w:b/>
          <w:sz w:val="24"/>
          <w:szCs w:val="24"/>
        </w:rPr>
      </w:pPr>
    </w:p>
    <w:p w14:paraId="57D9FFD9" w14:textId="20DFE663" w:rsidR="009F3AEA" w:rsidRDefault="00A52B9C" w:rsidP="00FF1B0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Članice Vijeća svoj rad su realizirale prvenstveno putem sjednica Vijeća na koje su</w:t>
      </w:r>
      <w:r w:rsidR="00570C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 redovito odazivale, u prosjeku 4 članova od ukupno pet. Članice Vijeća su na sjednicama raspravljale i izjašnjavale se o svim pitanjima koja su bila na dnevnom redu, davale su razne inicijative, prijedloge i postavljale pitanja radi poboljšanja života građana na svom području. Donosile su prijedloge te provodile različite terenske </w:t>
      </w:r>
      <w:r w:rsidR="00FF1B06">
        <w:rPr>
          <w:rFonts w:ascii="Times New Roman" w:eastAsia="Times New Roman" w:hAnsi="Times New Roman" w:cs="Times New Roman"/>
          <w:sz w:val="24"/>
          <w:szCs w:val="24"/>
        </w:rPr>
        <w:t>zadatke</w:t>
      </w:r>
      <w:r>
        <w:rPr>
          <w:rFonts w:ascii="Times New Roman" w:eastAsia="Times New Roman" w:hAnsi="Times New Roman" w:cs="Times New Roman"/>
          <w:sz w:val="24"/>
          <w:szCs w:val="24"/>
        </w:rPr>
        <w:t>, što uključuje i dežurstvo jednom mjesečno, kao i redovite izvide stanja stvari na terenu na temelju kojeg su sastavljale dnevni red sjednica.</w:t>
      </w:r>
    </w:p>
    <w:p w14:paraId="61391D18" w14:textId="77777777" w:rsidR="009F3AEA" w:rsidRDefault="009F3AEA" w:rsidP="00FF1B06">
      <w:pPr>
        <w:jc w:val="both"/>
        <w:rPr>
          <w:rFonts w:ascii="Times New Roman" w:eastAsia="Times New Roman" w:hAnsi="Times New Roman" w:cs="Times New Roman"/>
          <w:sz w:val="24"/>
          <w:szCs w:val="24"/>
        </w:rPr>
      </w:pPr>
    </w:p>
    <w:p w14:paraId="671E05D2" w14:textId="77777777" w:rsidR="009F3AEA" w:rsidRDefault="00A52B9C" w:rsidP="00FF1B0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ZAKLJUČNE OCJENE</w:t>
      </w:r>
    </w:p>
    <w:p w14:paraId="05D23CE8" w14:textId="77777777" w:rsidR="009F3AEA" w:rsidRDefault="009F3AEA" w:rsidP="00FF1B06">
      <w:pPr>
        <w:jc w:val="both"/>
        <w:rPr>
          <w:rFonts w:ascii="Times New Roman" w:eastAsia="Times New Roman" w:hAnsi="Times New Roman" w:cs="Times New Roman"/>
          <w:b/>
          <w:sz w:val="24"/>
          <w:szCs w:val="24"/>
        </w:rPr>
      </w:pPr>
    </w:p>
    <w:p w14:paraId="6D774E2B" w14:textId="05B63809" w:rsidR="009F3AEA" w:rsidRDefault="00A52B9C" w:rsidP="00FF1B06">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Vijeće je redovito komuniciralo međusobno, ali i građanima i </w:t>
      </w:r>
      <w:r w:rsidR="00FF1B06">
        <w:rPr>
          <w:rFonts w:ascii="Times New Roman" w:eastAsia="Times New Roman" w:hAnsi="Times New Roman" w:cs="Times New Roman"/>
          <w:sz w:val="24"/>
          <w:szCs w:val="24"/>
        </w:rPr>
        <w:t>ustanovama</w:t>
      </w:r>
      <w:r>
        <w:rPr>
          <w:rFonts w:ascii="Times New Roman" w:eastAsia="Times New Roman" w:hAnsi="Times New Roman" w:cs="Times New Roman"/>
          <w:sz w:val="24"/>
          <w:szCs w:val="24"/>
        </w:rPr>
        <w:t xml:space="preserve"> osluškujući njihove ideje i potrebe. Sustavno su provođeni izvidi stanja stvari na terenu, što je utjecalo efikasnijim ispunjavanjem manjih infrastrukturalnih potreba. Kontinuirani rad na terenu, ali i istraživanje različitih primjera dobre prakse u gradovima u Europi doprinijele su kreativnim prijedlozima za Plan komunalnih aktivnosti u narednoj godini.</w:t>
      </w:r>
    </w:p>
    <w:p w14:paraId="0BD10844" w14:textId="77777777" w:rsidR="009F3AEA" w:rsidRDefault="009F3AEA">
      <w:pPr>
        <w:spacing w:before="240" w:after="240"/>
        <w:jc w:val="both"/>
        <w:rPr>
          <w:rFonts w:ascii="Times New Roman" w:eastAsia="Times New Roman" w:hAnsi="Times New Roman" w:cs="Times New Roman"/>
          <w:b/>
          <w:sz w:val="24"/>
          <w:szCs w:val="24"/>
        </w:rPr>
      </w:pPr>
    </w:p>
    <w:p w14:paraId="6D36CBCD" w14:textId="49A50359" w:rsidR="009F3AEA" w:rsidRDefault="00A52B9C">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Ad 2. Program rada Vijeća Mjesnog odbora „Hrvatski narodni vladari“ za 2023.</w:t>
      </w:r>
    </w:p>
    <w:p w14:paraId="5A7E5748" w14:textId="4ED71F2B" w:rsidR="00FF1B06" w:rsidRDefault="00FF1B06" w:rsidP="00FF1B06">
      <w:pPr>
        <w:rPr>
          <w:rFonts w:ascii="Times New Roman" w:eastAsia="Times New Roman" w:hAnsi="Times New Roman" w:cs="Times New Roman"/>
          <w:sz w:val="24"/>
          <w:szCs w:val="24"/>
        </w:rPr>
      </w:pPr>
      <w:r>
        <w:rPr>
          <w:rFonts w:ascii="Times New Roman" w:eastAsia="Times New Roman" w:hAnsi="Times New Roman" w:cs="Times New Roman"/>
          <w:sz w:val="24"/>
          <w:szCs w:val="24"/>
        </w:rPr>
        <w:t>Nakon kratke rasprave, Vijeće Mjesnog odbora jednoglasno donosi</w:t>
      </w:r>
    </w:p>
    <w:p w14:paraId="2DD38206" w14:textId="77777777" w:rsidR="00FF1B06" w:rsidRPr="00FF1B06" w:rsidRDefault="00FF1B06" w:rsidP="00FF1B06">
      <w:pPr>
        <w:rPr>
          <w:rFonts w:ascii="Times New Roman" w:eastAsia="Times New Roman" w:hAnsi="Times New Roman" w:cs="Times New Roman"/>
          <w:sz w:val="24"/>
          <w:szCs w:val="24"/>
        </w:rPr>
      </w:pPr>
    </w:p>
    <w:p w14:paraId="04C00818" w14:textId="77777777" w:rsidR="00FF1B06" w:rsidRPr="00FF1B06" w:rsidRDefault="00FF1B06" w:rsidP="00FF1B06">
      <w:pPr>
        <w:spacing w:line="240" w:lineRule="auto"/>
        <w:jc w:val="center"/>
        <w:rPr>
          <w:rFonts w:ascii="Times New Roman" w:eastAsia="Calibri" w:hAnsi="Times New Roman" w:cs="Times New Roman"/>
          <w:b/>
          <w:bCs/>
          <w:sz w:val="24"/>
          <w:lang w:eastAsia="en-US"/>
        </w:rPr>
      </w:pPr>
      <w:r w:rsidRPr="00FF1B06">
        <w:rPr>
          <w:rFonts w:ascii="Times New Roman" w:eastAsia="Calibri" w:hAnsi="Times New Roman" w:cs="Times New Roman"/>
          <w:b/>
          <w:bCs/>
          <w:sz w:val="24"/>
          <w:lang w:eastAsia="en-US"/>
        </w:rPr>
        <w:t>PROGRAM RADA VIJEĆA</w:t>
      </w:r>
    </w:p>
    <w:p w14:paraId="5603401B" w14:textId="77777777" w:rsidR="00FF1B06" w:rsidRPr="00FF1B06" w:rsidRDefault="00FF1B06" w:rsidP="00FF1B06">
      <w:pPr>
        <w:spacing w:line="240" w:lineRule="auto"/>
        <w:jc w:val="center"/>
        <w:rPr>
          <w:rFonts w:ascii="Times New Roman" w:eastAsia="Calibri" w:hAnsi="Times New Roman" w:cs="Times New Roman"/>
          <w:b/>
          <w:bCs/>
          <w:sz w:val="24"/>
          <w:lang w:eastAsia="en-US"/>
        </w:rPr>
      </w:pPr>
      <w:r w:rsidRPr="00FF1B06">
        <w:rPr>
          <w:rFonts w:ascii="Times New Roman" w:eastAsia="Calibri" w:hAnsi="Times New Roman" w:cs="Times New Roman"/>
          <w:b/>
          <w:bCs/>
          <w:sz w:val="24"/>
          <w:lang w:eastAsia="en-US"/>
        </w:rPr>
        <w:t>MJESNOG ODBORA „HRVATSKI NARODNI VLADARI“</w:t>
      </w:r>
    </w:p>
    <w:p w14:paraId="55BF3F46" w14:textId="77777777" w:rsidR="00FF1B06" w:rsidRPr="00FF1B06" w:rsidRDefault="00FF1B06" w:rsidP="00FF1B06">
      <w:pPr>
        <w:spacing w:line="240" w:lineRule="auto"/>
        <w:jc w:val="center"/>
        <w:rPr>
          <w:rFonts w:ascii="Times New Roman" w:eastAsia="Calibri" w:hAnsi="Times New Roman" w:cs="Times New Roman"/>
          <w:b/>
          <w:bCs/>
          <w:sz w:val="24"/>
          <w:lang w:eastAsia="en-US"/>
        </w:rPr>
      </w:pPr>
      <w:r w:rsidRPr="00FF1B06">
        <w:rPr>
          <w:rFonts w:ascii="Times New Roman" w:eastAsia="Calibri" w:hAnsi="Times New Roman" w:cs="Times New Roman"/>
          <w:b/>
          <w:bCs/>
          <w:sz w:val="24"/>
          <w:lang w:eastAsia="en-US"/>
        </w:rPr>
        <w:t>ZA 2023. GODINU</w:t>
      </w:r>
    </w:p>
    <w:p w14:paraId="5879B92B" w14:textId="77777777" w:rsidR="00FF1B06" w:rsidRDefault="00FF1B06">
      <w:pPr>
        <w:spacing w:before="240" w:after="240"/>
        <w:jc w:val="both"/>
        <w:rPr>
          <w:rFonts w:ascii="Times New Roman" w:eastAsia="Times New Roman" w:hAnsi="Times New Roman" w:cs="Times New Roman"/>
          <w:sz w:val="24"/>
          <w:szCs w:val="24"/>
        </w:rPr>
      </w:pPr>
    </w:p>
    <w:p w14:paraId="6A357307" w14:textId="62AE6C33"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temelju Poslovnika i Pravila Vijeća Mjesnog odbora „Hrvatski narodni vladari“, te sukladno Statutu Grada Zagreba, svoj program za 2023. godinu Vijeće temelji na najaktualnijim komunalnim potrebama za poboljšanje standarda građana sa područja Mjesnog odbora „Hrvatski narodni vladari“.</w:t>
      </w:r>
    </w:p>
    <w:p w14:paraId="1F8AC19D" w14:textId="77777777"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Programom rada obvezno:</w:t>
      </w:r>
    </w:p>
    <w:p w14:paraId="2932775B" w14:textId="420B1058"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Donosi </w:t>
      </w:r>
      <w:r w:rsidR="00570C63">
        <w:rPr>
          <w:rFonts w:ascii="Times New Roman" w:eastAsia="Times New Roman" w:hAnsi="Times New Roman" w:cs="Times New Roman"/>
          <w:sz w:val="24"/>
          <w:szCs w:val="24"/>
        </w:rPr>
        <w:t>F</w:t>
      </w:r>
      <w:r>
        <w:rPr>
          <w:rFonts w:ascii="Times New Roman" w:eastAsia="Times New Roman" w:hAnsi="Times New Roman" w:cs="Times New Roman"/>
          <w:sz w:val="24"/>
          <w:szCs w:val="24"/>
        </w:rPr>
        <w:t>inancijski plan.</w:t>
      </w:r>
    </w:p>
    <w:p w14:paraId="1019B74D" w14:textId="77777777"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Donosi Plan malih komunalnih akcija Mjesnog odbora, koji je sastavni dio Plana komunalnih aktivnosti gradske četvrti.</w:t>
      </w:r>
    </w:p>
    <w:p w14:paraId="4599C543" w14:textId="77777777"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Donosi Izvješće o radu Vijeće Mjesnog odbora „Hrvatski narodni vladari“.</w:t>
      </w:r>
    </w:p>
    <w:p w14:paraId="37316F56" w14:textId="5261323F"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Prati realizaciju Plana komunalnih aktivnosti i Programa održavanja komunalne infrastrukture te komunicira s gradskim uredima i </w:t>
      </w:r>
      <w:r w:rsidR="00FF1B06">
        <w:rPr>
          <w:rFonts w:ascii="Times New Roman" w:eastAsia="Times New Roman" w:hAnsi="Times New Roman" w:cs="Times New Roman"/>
          <w:sz w:val="24"/>
          <w:szCs w:val="24"/>
        </w:rPr>
        <w:t>podružnicama</w:t>
      </w:r>
      <w:r>
        <w:rPr>
          <w:rFonts w:ascii="Times New Roman" w:eastAsia="Times New Roman" w:hAnsi="Times New Roman" w:cs="Times New Roman"/>
          <w:sz w:val="24"/>
          <w:szCs w:val="24"/>
        </w:rPr>
        <w:t xml:space="preserve"> Holdinga oko potreba i eventualnih nepravilnosti.</w:t>
      </w:r>
    </w:p>
    <w:p w14:paraId="7E890177" w14:textId="77777777"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Raspravlja i donosi zaključke na osnovi zahtjeva građana.</w:t>
      </w:r>
    </w:p>
    <w:p w14:paraId="690A4084" w14:textId="77777777"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 Raspravlja i donosi zaključke o ozelenjavanju, urbanom namještaju te prometnoj signalizaciji na temelju dvotjednih terenskih izvida.</w:t>
      </w:r>
    </w:p>
    <w:p w14:paraId="495A05C2" w14:textId="77777777"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Vodi računa o čistoći ulica i trgova, o preraspodjeli zelenih otoka s obzirom na potrebe građana te o nepropisnom odlaganju otpada.</w:t>
      </w:r>
    </w:p>
    <w:p w14:paraId="1D9BBC58" w14:textId="77777777"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Predlaže aktivnosti i intervencije kojima je cilj poboljšanje života na prostoru Mjesnog odbora u svim njegovim aspektima.</w:t>
      </w:r>
    </w:p>
    <w:p w14:paraId="7A953FC7" w14:textId="77777777"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Raspravlja i donositi mišljenja o prijedlozima akata o kojima Gradonačelnik, Gradska skupština, gradski uredi i Vijeće gradske četvrt, traže mišljenje vijeća mjesnog odbora.</w:t>
      </w:r>
    </w:p>
    <w:p w14:paraId="4ABC9DE4" w14:textId="77777777"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Odlučuje o raspolaganju imovinom Mjesnog odbora te komunicira s korisnicima kojima stoji na raspolaganju kao korespondent između njih i stručne službe.</w:t>
      </w:r>
    </w:p>
    <w:p w14:paraId="4102238C" w14:textId="43CA8AA7"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Kontinuiranom komunikacijom s okolnim mjesnim odborima i predsjednikom Vijeća Gradske četvrti raspravljati o problemima i zajednički donosi zaključke o najefikasnijim rješenjima, sve u skladu s dobrobiti građana te zelenom, inkluzivnom politikom gradske vlasti.</w:t>
      </w:r>
    </w:p>
    <w:p w14:paraId="366E4F36" w14:textId="7D870B5D"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može donijeti plan potreba za aktivnostima, programima i projektima unapređenja kvalitete života građana koji su od interesa za pojedini dio mjesnog odbora ili za cijeli mjesni odbor i utvrđuje prioritete u njegovoj realizaciji. Program rada Vijeće Mjesnog odbora „Hrvatski narodni vladari“ temelji se i na kontinuitetu svih prethodnih aktivnosti Mjesnoga odbora i zahtjevima građana, ali i inovativnim idejama za aktivnosti i izgradnju u dobrobit zajednice.</w:t>
      </w:r>
    </w:p>
    <w:p w14:paraId="40E19326" w14:textId="77777777"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Prema navedenom Vijeće će Programom rada:</w:t>
      </w:r>
    </w:p>
    <w:p w14:paraId="28D6EC0D" w14:textId="77777777"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u što većoj mjeri pridonijeti kvalitetnijem razvoju i radu Mjesnog odbora;</w:t>
      </w:r>
    </w:p>
    <w:p w14:paraId="582A80FE" w14:textId="77777777"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pomoći u održavanju, opremanju i obnovi prostora Mjesnog odbora;</w:t>
      </w:r>
    </w:p>
    <w:p w14:paraId="71A37B0B" w14:textId="77777777"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podržavati realizaciju različitih aktivnosti programa udruga i udruženja građana;</w:t>
      </w:r>
    </w:p>
    <w:p w14:paraId="27B44EFB" w14:textId="77777777"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sustavno prikupljati i obrađivati, te učiniti dostupnim sve podatke o Mjesnom odboru, kao nužnu pretpostavku za utjecaj građana i njihovih predstavničkih tijela na razvoj mjesnog odbora (posebice uređenja naselja, održavanje komunalnog reda i zaštite okoliša, djelovanja javnih službi itd.), rješavanju prometa na području mjesnog odbora, kao i prometa u mirovanju;</w:t>
      </w:r>
    </w:p>
    <w:p w14:paraId="4B46C1EF" w14:textId="77777777"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nastojati kvalitetnije i temeljitije informirati građane o svim aktivnostima na području mjesnog odbora;</w:t>
      </w:r>
    </w:p>
    <w:p w14:paraId="748AC3FD" w14:textId="77777777"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predlagati izvođenja većih zahvata na objektima komunalne infrastrukture, kao i izgradnju drugih javnih objekata (vrtići, škole, javne garaže, sportske dvorane), a koje nije moguće financirati sredstvima kojima raspolaže mjesni odbor;</w:t>
      </w:r>
    </w:p>
    <w:p w14:paraId="0A8DBCC5" w14:textId="77777777"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 predlagati izvođenje većih zahvata ozelenjavanja područja mjesnog odbora u skladu sa zelenom politikom gradske vlasti i reakcijom na klimatske promjene, a koje nije moguće financirati sredstvima kojima raspolaže mjesni odbor;</w:t>
      </w:r>
    </w:p>
    <w:p w14:paraId="7A8F8EC8" w14:textId="77777777"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inicirati izradu Programa kulturnih aktivnosti na području Mjesnog odbora u suradnji sa Vijećem Gradske četvrti Donji grad, te osigurati prostore i druge uvjete za njihovu realizaciju.</w:t>
      </w:r>
    </w:p>
    <w:p w14:paraId="706577DA" w14:textId="77777777"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Realizacija navedenog Programa rada ovisiti će o:</w:t>
      </w:r>
    </w:p>
    <w:p w14:paraId="7FB3E74B" w14:textId="77777777"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sudjelovanju članova Vijeća u radu;</w:t>
      </w:r>
    </w:p>
    <w:p w14:paraId="33BD2740" w14:textId="77777777"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izvršenju proračuna Grada Zagreba;</w:t>
      </w:r>
    </w:p>
    <w:p w14:paraId="7A979797" w14:textId="77777777"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suradnji s nadležnim tijelima Gradske uprave Zagreba;</w:t>
      </w:r>
    </w:p>
    <w:p w14:paraId="249F77CA" w14:textId="77777777"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suradnji s okolnim mjesnim odborima;</w:t>
      </w:r>
    </w:p>
    <w:p w14:paraId="14C344A5" w14:textId="77777777"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suradnji s Vijećem Gradske četvrti Donji grad;</w:t>
      </w:r>
    </w:p>
    <w:p w14:paraId="222D33A0" w14:textId="77777777"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suradnji građana Gradske četvrti Donji grad.</w:t>
      </w:r>
    </w:p>
    <w:p w14:paraId="2F9B4C51" w14:textId="77777777" w:rsidR="009F3AEA" w:rsidRDefault="009F3AEA">
      <w:pPr>
        <w:jc w:val="center"/>
        <w:rPr>
          <w:rFonts w:ascii="Times New Roman" w:eastAsia="Times New Roman" w:hAnsi="Times New Roman" w:cs="Times New Roman"/>
          <w:sz w:val="24"/>
          <w:szCs w:val="24"/>
        </w:rPr>
      </w:pPr>
    </w:p>
    <w:p w14:paraId="73CB9BF6" w14:textId="77777777" w:rsidR="009F3AEA" w:rsidRDefault="00A52B9C">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Ad 3. Zaključak o prijedlogu utroška sredstava sa pozicije Ostali nespomenuti rashodi poslovanja Vijeća Mjesnog odbora „Hrvatski narodni vladari“ za 2023.</w:t>
      </w:r>
    </w:p>
    <w:p w14:paraId="652B12B8" w14:textId="1F0CD298" w:rsidR="009F3AEA" w:rsidRDefault="00FF1B06">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Članice Vijeća</w:t>
      </w:r>
      <w:r w:rsidR="00A52B9C">
        <w:rPr>
          <w:rFonts w:ascii="Times New Roman" w:eastAsia="Times New Roman" w:hAnsi="Times New Roman" w:cs="Times New Roman"/>
          <w:sz w:val="24"/>
          <w:szCs w:val="24"/>
        </w:rPr>
        <w:t xml:space="preserve"> su sagledale sve mogućnosti Ostalih nespomenutih rashoda</w:t>
      </w:r>
      <w:r w:rsidR="00570C63">
        <w:rPr>
          <w:rFonts w:ascii="Times New Roman" w:eastAsia="Times New Roman" w:hAnsi="Times New Roman" w:cs="Times New Roman"/>
          <w:sz w:val="24"/>
          <w:szCs w:val="24"/>
        </w:rPr>
        <w:t xml:space="preserve"> poslovanja</w:t>
      </w:r>
      <w:r w:rsidR="00A52B9C">
        <w:rPr>
          <w:rFonts w:ascii="Times New Roman" w:eastAsia="Times New Roman" w:hAnsi="Times New Roman" w:cs="Times New Roman"/>
          <w:sz w:val="24"/>
          <w:szCs w:val="24"/>
        </w:rPr>
        <w:t xml:space="preserve">. Predsjednica je izvijestila prisutne o ideji da se u suradnji s Mjesnim odborom </w:t>
      </w:r>
      <w:r>
        <w:rPr>
          <w:rFonts w:ascii="Times New Roman" w:eastAsia="Times New Roman" w:hAnsi="Times New Roman" w:cs="Times New Roman"/>
          <w:sz w:val="24"/>
          <w:szCs w:val="24"/>
        </w:rPr>
        <w:t>„</w:t>
      </w:r>
      <w:r w:rsidR="00A52B9C">
        <w:rPr>
          <w:rFonts w:ascii="Times New Roman" w:eastAsia="Times New Roman" w:hAnsi="Times New Roman" w:cs="Times New Roman"/>
          <w:sz w:val="24"/>
          <w:szCs w:val="24"/>
        </w:rPr>
        <w:t>Petar Krešimir IV</w:t>
      </w:r>
      <w:r>
        <w:rPr>
          <w:rFonts w:ascii="Times New Roman" w:eastAsia="Times New Roman" w:hAnsi="Times New Roman" w:cs="Times New Roman"/>
          <w:sz w:val="24"/>
          <w:szCs w:val="24"/>
        </w:rPr>
        <w:t>.“</w:t>
      </w:r>
      <w:r w:rsidR="00A52B9C">
        <w:rPr>
          <w:rFonts w:ascii="Times New Roman" w:eastAsia="Times New Roman" w:hAnsi="Times New Roman" w:cs="Times New Roman"/>
          <w:sz w:val="24"/>
          <w:szCs w:val="24"/>
        </w:rPr>
        <w:t xml:space="preserve"> organizira na Trgu Petra Krešimira IV</w:t>
      </w:r>
      <w:r>
        <w:rPr>
          <w:rFonts w:ascii="Times New Roman" w:eastAsia="Times New Roman" w:hAnsi="Times New Roman" w:cs="Times New Roman"/>
          <w:sz w:val="24"/>
          <w:szCs w:val="24"/>
        </w:rPr>
        <w:t>.</w:t>
      </w:r>
      <w:r w:rsidR="00A52B9C">
        <w:rPr>
          <w:rFonts w:ascii="Times New Roman" w:eastAsia="Times New Roman" w:hAnsi="Times New Roman" w:cs="Times New Roman"/>
          <w:sz w:val="24"/>
          <w:szCs w:val="24"/>
        </w:rPr>
        <w:t xml:space="preserve"> organizira Dan Donjeg grada te da se za te potrebe Ostali nespomenuti rashodi</w:t>
      </w:r>
      <w:r w:rsidR="00570C63">
        <w:rPr>
          <w:rFonts w:ascii="Times New Roman" w:eastAsia="Times New Roman" w:hAnsi="Times New Roman" w:cs="Times New Roman"/>
          <w:sz w:val="24"/>
          <w:szCs w:val="24"/>
        </w:rPr>
        <w:t xml:space="preserve"> poslovanja</w:t>
      </w:r>
      <w:r w:rsidR="00A52B9C">
        <w:rPr>
          <w:rFonts w:ascii="Times New Roman" w:eastAsia="Times New Roman" w:hAnsi="Times New Roman" w:cs="Times New Roman"/>
          <w:sz w:val="24"/>
          <w:szCs w:val="24"/>
        </w:rPr>
        <w:t xml:space="preserve"> usmjere na promociju rada Gradske četvrti.</w:t>
      </w:r>
    </w:p>
    <w:p w14:paraId="68F6B6D7" w14:textId="40CBE060" w:rsidR="00A52B9C"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Vijeće je jednoglasno donijelo </w:t>
      </w:r>
    </w:p>
    <w:p w14:paraId="2B6E851C" w14:textId="77777777" w:rsidR="00E71DF9" w:rsidRPr="00E71DF9" w:rsidRDefault="00E71DF9" w:rsidP="00E71DF9">
      <w:pPr>
        <w:jc w:val="center"/>
        <w:rPr>
          <w:rFonts w:ascii="Times New Roman" w:eastAsia="Times New Roman" w:hAnsi="Times New Roman" w:cs="Times New Roman"/>
          <w:b/>
          <w:bCs/>
          <w:sz w:val="24"/>
          <w:szCs w:val="24"/>
        </w:rPr>
      </w:pPr>
      <w:r w:rsidRPr="00E71DF9">
        <w:rPr>
          <w:rFonts w:ascii="Times New Roman" w:eastAsia="Times New Roman" w:hAnsi="Times New Roman" w:cs="Times New Roman"/>
          <w:b/>
          <w:bCs/>
          <w:sz w:val="24"/>
          <w:szCs w:val="24"/>
        </w:rPr>
        <w:t>ZAKLJUČAK</w:t>
      </w:r>
    </w:p>
    <w:p w14:paraId="49F54063" w14:textId="77777777" w:rsidR="00E71DF9" w:rsidRPr="00E71DF9" w:rsidRDefault="00E71DF9" w:rsidP="00E71DF9">
      <w:pPr>
        <w:jc w:val="center"/>
        <w:rPr>
          <w:rFonts w:ascii="Times New Roman" w:eastAsia="Times New Roman" w:hAnsi="Times New Roman" w:cs="Times New Roman"/>
          <w:b/>
          <w:bCs/>
          <w:sz w:val="24"/>
          <w:szCs w:val="24"/>
        </w:rPr>
      </w:pPr>
      <w:r w:rsidRPr="00E71DF9">
        <w:rPr>
          <w:rFonts w:ascii="Times New Roman" w:eastAsia="Times New Roman" w:hAnsi="Times New Roman" w:cs="Times New Roman"/>
          <w:b/>
          <w:bCs/>
          <w:sz w:val="24"/>
          <w:szCs w:val="24"/>
        </w:rPr>
        <w:t>O PRIJEDLOGU UTROŠKA SREDSTAVA SA POZICIJE</w:t>
      </w:r>
    </w:p>
    <w:p w14:paraId="60B3FF2A" w14:textId="5BD13C3B" w:rsidR="00E71DF9" w:rsidRDefault="00E71DF9" w:rsidP="00E71DF9">
      <w:pPr>
        <w:jc w:val="center"/>
        <w:rPr>
          <w:rFonts w:ascii="Times New Roman" w:eastAsia="Times New Roman" w:hAnsi="Times New Roman" w:cs="Times New Roman"/>
          <w:b/>
          <w:bCs/>
          <w:sz w:val="24"/>
          <w:szCs w:val="24"/>
        </w:rPr>
      </w:pPr>
      <w:r w:rsidRPr="00E71DF9">
        <w:rPr>
          <w:rFonts w:ascii="Times New Roman" w:eastAsia="Times New Roman" w:hAnsi="Times New Roman" w:cs="Times New Roman"/>
          <w:b/>
          <w:bCs/>
          <w:sz w:val="24"/>
          <w:szCs w:val="24"/>
        </w:rPr>
        <w:t>OSTALI NESPOMENUTI RASHODI POSLOVANJA</w:t>
      </w:r>
    </w:p>
    <w:p w14:paraId="05009361" w14:textId="77777777" w:rsidR="00A52B9C" w:rsidRPr="00E71DF9" w:rsidRDefault="00A52B9C" w:rsidP="00E71DF9">
      <w:pPr>
        <w:jc w:val="center"/>
        <w:rPr>
          <w:rFonts w:ascii="Times New Roman" w:eastAsia="Times New Roman" w:hAnsi="Times New Roman" w:cs="Times New Roman"/>
          <w:b/>
          <w:bCs/>
          <w:sz w:val="24"/>
          <w:szCs w:val="24"/>
        </w:rPr>
      </w:pPr>
    </w:p>
    <w:p w14:paraId="13BCF430" w14:textId="728C9CF4"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Vijeće Mjesnog odbora „Hrvatski narodni vladari“ iz Razdjela Proračuna Grada</w:t>
      </w:r>
      <w:r w:rsidR="00E71D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Zagreba 00502 na poziciji 271-3299 za 2023. ima 650,00 EUR.</w:t>
      </w:r>
    </w:p>
    <w:p w14:paraId="697CA5D6" w14:textId="2D137F2A"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Vijeće Mjesnog odbora „Hrvatski narodni vladari“ predlaže utrošak sredstava iz točke 1. ovog zaključka na sljedeći način:</w:t>
      </w:r>
    </w:p>
    <w:p w14:paraId="6DF3038B" w14:textId="52893945" w:rsidR="009F3AEA" w:rsidRDefault="00E71DF9" w:rsidP="00E71DF9">
      <w:pPr>
        <w:spacing w:before="240" w:after="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A52B9C">
        <w:rPr>
          <w:rFonts w:ascii="Times New Roman" w:eastAsia="Times New Roman" w:hAnsi="Times New Roman" w:cs="Times New Roman"/>
          <w:sz w:val="24"/>
          <w:szCs w:val="24"/>
        </w:rPr>
        <w:t>. Za potrebe promocije rada Gradske četvrti Donji grad                                650,00 EUR</w:t>
      </w:r>
    </w:p>
    <w:p w14:paraId="1EDBCE8E" w14:textId="77777777" w:rsidR="009F3AEA" w:rsidRDefault="009F3AEA">
      <w:pPr>
        <w:spacing w:before="240" w:after="240"/>
        <w:jc w:val="both"/>
        <w:rPr>
          <w:rFonts w:ascii="Times New Roman" w:eastAsia="Times New Roman" w:hAnsi="Times New Roman" w:cs="Times New Roman"/>
          <w:sz w:val="24"/>
          <w:szCs w:val="24"/>
        </w:rPr>
      </w:pPr>
    </w:p>
    <w:p w14:paraId="36179BB1" w14:textId="5D857326" w:rsidR="009F3AEA" w:rsidRPr="00E71DF9" w:rsidRDefault="00A52B9C" w:rsidP="00E71DF9">
      <w:pPr>
        <w:spacing w:before="240" w:after="240"/>
        <w:ind w:left="6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E71D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Ukupno: 650,00 EUR</w:t>
      </w:r>
    </w:p>
    <w:p w14:paraId="42BCA327" w14:textId="77777777"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Zaključak dostaviti Vijeću Gradske četvrti Donji grad i Gradskom uredu za mjesnu samoupravu, civilnu zaštitu i sigurnost.</w:t>
      </w:r>
    </w:p>
    <w:p w14:paraId="59CBDE71" w14:textId="77777777" w:rsidR="009F3AEA" w:rsidRDefault="009F3AEA">
      <w:pPr>
        <w:spacing w:before="240" w:after="240"/>
        <w:jc w:val="both"/>
        <w:rPr>
          <w:rFonts w:ascii="Times New Roman" w:eastAsia="Times New Roman" w:hAnsi="Times New Roman" w:cs="Times New Roman"/>
          <w:b/>
          <w:sz w:val="24"/>
          <w:szCs w:val="24"/>
        </w:rPr>
      </w:pPr>
    </w:p>
    <w:p w14:paraId="7D2175A1" w14:textId="77777777" w:rsidR="009F3AEA" w:rsidRPr="00A52B9C" w:rsidRDefault="00A52B9C">
      <w:pPr>
        <w:spacing w:line="240" w:lineRule="auto"/>
        <w:jc w:val="both"/>
        <w:rPr>
          <w:rFonts w:ascii="Times New Roman" w:eastAsia="Times New Roman" w:hAnsi="Times New Roman" w:cs="Times New Roman"/>
          <w:b/>
          <w:i/>
          <w:iCs/>
          <w:sz w:val="24"/>
          <w:szCs w:val="24"/>
        </w:rPr>
      </w:pPr>
      <w:r>
        <w:rPr>
          <w:rFonts w:ascii="Times New Roman" w:eastAsia="Times New Roman" w:hAnsi="Times New Roman" w:cs="Times New Roman"/>
          <w:b/>
          <w:sz w:val="24"/>
          <w:szCs w:val="24"/>
        </w:rPr>
        <w:t xml:space="preserve">Ad 4. Korištenje prostora Mjesnog odbora „Hrvatski narodni vladari“ – </w:t>
      </w:r>
      <w:r w:rsidRPr="00A52B9C">
        <w:rPr>
          <w:rFonts w:ascii="Times New Roman" w:eastAsia="Times New Roman" w:hAnsi="Times New Roman" w:cs="Times New Roman"/>
          <w:b/>
          <w:i/>
          <w:iCs/>
          <w:sz w:val="24"/>
          <w:szCs w:val="24"/>
        </w:rPr>
        <w:t>donošenje</w:t>
      </w:r>
    </w:p>
    <w:p w14:paraId="07AAA6DD" w14:textId="77777777" w:rsidR="009F3AEA" w:rsidRPr="00A52B9C" w:rsidRDefault="00A52B9C">
      <w:pPr>
        <w:spacing w:line="240" w:lineRule="auto"/>
        <w:rPr>
          <w:rFonts w:ascii="Times New Roman" w:eastAsia="Times New Roman" w:hAnsi="Times New Roman" w:cs="Times New Roman"/>
          <w:b/>
          <w:bCs/>
          <w:i/>
          <w:iCs/>
          <w:sz w:val="24"/>
          <w:szCs w:val="24"/>
        </w:rPr>
      </w:pPr>
      <w:r w:rsidRPr="00A52B9C">
        <w:rPr>
          <w:rFonts w:ascii="Times New Roman" w:eastAsia="Times New Roman" w:hAnsi="Times New Roman" w:cs="Times New Roman"/>
          <w:b/>
          <w:bCs/>
          <w:i/>
          <w:iCs/>
          <w:sz w:val="24"/>
          <w:szCs w:val="24"/>
        </w:rPr>
        <w:t>zaključaka</w:t>
      </w:r>
    </w:p>
    <w:p w14:paraId="38D02C0D" w14:textId="77777777" w:rsidR="009F3AEA" w:rsidRDefault="009F3AEA">
      <w:pPr>
        <w:spacing w:line="240" w:lineRule="auto"/>
        <w:ind w:left="644"/>
        <w:rPr>
          <w:rFonts w:ascii="Times New Roman" w:eastAsia="Times New Roman" w:hAnsi="Times New Roman" w:cs="Times New Roman"/>
          <w:sz w:val="24"/>
          <w:szCs w:val="24"/>
        </w:rPr>
      </w:pPr>
    </w:p>
    <w:p w14:paraId="2536B84E" w14:textId="639F593C"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sjednicu su pristigli zahtjevi za korištenje prostora korisnika slikara Darija Raffaelea Oriolija, Ansambla Marco Polo, Udruge umirovljenika Zagrebačke banke, Gerontološkog centra Medveščak,</w:t>
      </w:r>
      <w:r w:rsidR="00E71D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Teatra Cirkus Punkt te Domovinskog pokreta.</w:t>
      </w:r>
    </w:p>
    <w:p w14:paraId="3F494A0C" w14:textId="77777777" w:rsidR="009F3AEA" w:rsidRDefault="009F3AEA">
      <w:pPr>
        <w:spacing w:line="240" w:lineRule="auto"/>
        <w:jc w:val="both"/>
        <w:rPr>
          <w:rFonts w:ascii="Times New Roman" w:eastAsia="Times New Roman" w:hAnsi="Times New Roman" w:cs="Times New Roman"/>
          <w:sz w:val="24"/>
          <w:szCs w:val="24"/>
        </w:rPr>
      </w:pPr>
    </w:p>
    <w:p w14:paraId="79AA93A9"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je, jednoglasno, donijelo sljedeće zaključke:</w:t>
      </w:r>
    </w:p>
    <w:p w14:paraId="1FEFAA6A" w14:textId="77777777" w:rsidR="009F3AEA" w:rsidRDefault="009F3AEA">
      <w:pPr>
        <w:spacing w:line="240" w:lineRule="auto"/>
        <w:jc w:val="both"/>
        <w:rPr>
          <w:rFonts w:ascii="Times New Roman" w:eastAsia="Times New Roman" w:hAnsi="Times New Roman" w:cs="Times New Roman"/>
          <w:sz w:val="24"/>
          <w:szCs w:val="24"/>
        </w:rPr>
      </w:pPr>
    </w:p>
    <w:p w14:paraId="48696D43" w14:textId="77777777" w:rsidR="009F3AEA" w:rsidRDefault="00A52B9C">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A K L J U Č A K</w:t>
      </w:r>
    </w:p>
    <w:p w14:paraId="0F918B7E" w14:textId="77777777" w:rsidR="009F3AEA" w:rsidRDefault="009F3AEA">
      <w:pPr>
        <w:spacing w:line="240" w:lineRule="auto"/>
        <w:jc w:val="both"/>
        <w:rPr>
          <w:rFonts w:ascii="Times New Roman" w:eastAsia="Times New Roman" w:hAnsi="Times New Roman" w:cs="Times New Roman"/>
          <w:sz w:val="24"/>
          <w:szCs w:val="24"/>
        </w:rPr>
      </w:pPr>
    </w:p>
    <w:p w14:paraId="5DA126AE"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 Akademskom slikaru Dariu Raffaele Orioli odobrava se povremeno korištenje dvorane u</w:t>
      </w:r>
    </w:p>
    <w:p w14:paraId="0A55CD1C"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objektu mjesne samouprave, Zagreb, Trg hrvatskih velikana 2/1, subotom od 16 do 19 sati i</w:t>
      </w:r>
    </w:p>
    <w:p w14:paraId="18AA743B"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nedjeljom od 12 do 14 sati.</w:t>
      </w:r>
    </w:p>
    <w:p w14:paraId="5E39B2BB" w14:textId="77777777" w:rsidR="009F3AEA" w:rsidRDefault="009F3AEA">
      <w:pPr>
        <w:spacing w:line="240" w:lineRule="auto"/>
        <w:jc w:val="both"/>
        <w:rPr>
          <w:rFonts w:ascii="Times New Roman" w:eastAsia="Times New Roman" w:hAnsi="Times New Roman" w:cs="Times New Roman"/>
          <w:sz w:val="24"/>
          <w:szCs w:val="24"/>
        </w:rPr>
      </w:pPr>
    </w:p>
    <w:p w14:paraId="668A8BB8"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Prostor iz točke 1. ovog zaključka koristit će Akademski slikar Dario Raffaele Orioli bez</w:t>
      </w:r>
    </w:p>
    <w:p w14:paraId="6C1EFF3D"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naknade.</w:t>
      </w:r>
    </w:p>
    <w:p w14:paraId="7C32A87D" w14:textId="77777777" w:rsidR="009F3AEA" w:rsidRDefault="009F3AEA">
      <w:pPr>
        <w:spacing w:line="240" w:lineRule="auto"/>
        <w:jc w:val="both"/>
        <w:rPr>
          <w:rFonts w:ascii="Times New Roman" w:eastAsia="Times New Roman" w:hAnsi="Times New Roman" w:cs="Times New Roman"/>
          <w:sz w:val="24"/>
          <w:szCs w:val="24"/>
        </w:rPr>
      </w:pPr>
    </w:p>
    <w:p w14:paraId="3E76C1D1"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Akademski slikar Dario Raffaele Orioli se obvezuje sa prostorom prilikom korištenja</w:t>
      </w:r>
    </w:p>
    <w:p w14:paraId="6CF632E2"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postupati sa pažnjom dobrog gospodara.</w:t>
      </w:r>
    </w:p>
    <w:p w14:paraId="3C0AFEA4" w14:textId="77777777" w:rsidR="009F3AEA" w:rsidRDefault="009F3AEA">
      <w:pPr>
        <w:spacing w:line="240" w:lineRule="auto"/>
        <w:jc w:val="both"/>
        <w:rPr>
          <w:rFonts w:ascii="Times New Roman" w:eastAsia="Times New Roman" w:hAnsi="Times New Roman" w:cs="Times New Roman"/>
          <w:sz w:val="24"/>
          <w:szCs w:val="24"/>
        </w:rPr>
      </w:pPr>
    </w:p>
    <w:p w14:paraId="0CD79AD8"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O povremenom korištenju prostora iz točke l. ovog zaključka Gradski ured za mjesnu</w:t>
      </w:r>
    </w:p>
    <w:p w14:paraId="465C0BF6"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samoupravu, civilnu zaštitu i sigurnost izdat će odobrenje o korištenju, a u skladu s ovim</w:t>
      </w:r>
    </w:p>
    <w:p w14:paraId="5443BEBF"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zaključkom.</w:t>
      </w:r>
    </w:p>
    <w:p w14:paraId="45F9922F" w14:textId="77777777" w:rsidR="009F3AEA" w:rsidRDefault="009F3AEA">
      <w:pPr>
        <w:spacing w:line="240" w:lineRule="auto"/>
        <w:jc w:val="both"/>
        <w:rPr>
          <w:rFonts w:ascii="Times New Roman" w:eastAsia="Times New Roman" w:hAnsi="Times New Roman" w:cs="Times New Roman"/>
          <w:sz w:val="24"/>
          <w:szCs w:val="24"/>
        </w:rPr>
      </w:pPr>
    </w:p>
    <w:p w14:paraId="1269E507" w14:textId="77777777" w:rsidR="009F3AEA" w:rsidRDefault="00A52B9C">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A K L J U Č A K</w:t>
      </w:r>
    </w:p>
    <w:p w14:paraId="0383E9C1" w14:textId="77777777" w:rsidR="009F3AEA" w:rsidRDefault="009F3AEA">
      <w:pPr>
        <w:spacing w:line="240" w:lineRule="auto"/>
        <w:jc w:val="both"/>
        <w:rPr>
          <w:rFonts w:ascii="Times New Roman" w:eastAsia="Times New Roman" w:hAnsi="Times New Roman" w:cs="Times New Roman"/>
          <w:sz w:val="24"/>
          <w:szCs w:val="24"/>
        </w:rPr>
      </w:pPr>
    </w:p>
    <w:p w14:paraId="76AB4B08"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 Ansamblu Marco Polo odobrava se povremeno korištenje dvorane u objektu mjesne</w:t>
      </w:r>
    </w:p>
    <w:p w14:paraId="246A5B68"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samouprave, Zagreb, Trg hrvatskih velikana 2/1, ponedjeljkom od 20 do 22 sati.</w:t>
      </w:r>
    </w:p>
    <w:p w14:paraId="1F417508" w14:textId="77777777" w:rsidR="009F3AEA" w:rsidRDefault="009F3AEA">
      <w:pPr>
        <w:spacing w:line="240" w:lineRule="auto"/>
        <w:jc w:val="both"/>
        <w:rPr>
          <w:rFonts w:ascii="Times New Roman" w:eastAsia="Times New Roman" w:hAnsi="Times New Roman" w:cs="Times New Roman"/>
          <w:sz w:val="24"/>
          <w:szCs w:val="24"/>
        </w:rPr>
      </w:pPr>
    </w:p>
    <w:p w14:paraId="2D337BFD"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Prostor iz točke 1. ovog zaključka koristit će Ansambl Marco Polo bez naknade.</w:t>
      </w:r>
    </w:p>
    <w:p w14:paraId="2B2868B6" w14:textId="77777777" w:rsidR="009F3AEA" w:rsidRDefault="009F3AEA">
      <w:pPr>
        <w:spacing w:line="240" w:lineRule="auto"/>
        <w:jc w:val="both"/>
        <w:rPr>
          <w:rFonts w:ascii="Times New Roman" w:eastAsia="Times New Roman" w:hAnsi="Times New Roman" w:cs="Times New Roman"/>
          <w:sz w:val="24"/>
          <w:szCs w:val="24"/>
        </w:rPr>
      </w:pPr>
    </w:p>
    <w:p w14:paraId="4845D2C0"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Ansambl Marco Polo se obvezuje sa prostorom prilikom korištenja postupati sa pažnjom</w:t>
      </w:r>
    </w:p>
    <w:p w14:paraId="39B2F847"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dobrog gospodara.</w:t>
      </w:r>
    </w:p>
    <w:p w14:paraId="21EB7E2E" w14:textId="77777777" w:rsidR="009F3AEA" w:rsidRDefault="009F3AEA">
      <w:pPr>
        <w:spacing w:line="240" w:lineRule="auto"/>
        <w:jc w:val="both"/>
        <w:rPr>
          <w:rFonts w:ascii="Times New Roman" w:eastAsia="Times New Roman" w:hAnsi="Times New Roman" w:cs="Times New Roman"/>
          <w:sz w:val="24"/>
          <w:szCs w:val="24"/>
        </w:rPr>
      </w:pPr>
    </w:p>
    <w:p w14:paraId="62548200"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O povremenom korištenju prostora iz točke l. ovog zaključka Gradski ured za mjesnu</w:t>
      </w:r>
    </w:p>
    <w:p w14:paraId="5F0C2B4A"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samoupravu, civilnu zaštitu i sigurnost izdat će odobrenje o korištenju, a u skladu s ovim</w:t>
      </w:r>
    </w:p>
    <w:p w14:paraId="70E5A84C"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zaključkom.</w:t>
      </w:r>
    </w:p>
    <w:p w14:paraId="35765376" w14:textId="77777777" w:rsidR="009F3AEA" w:rsidRDefault="009F3AEA">
      <w:pPr>
        <w:spacing w:line="240" w:lineRule="auto"/>
        <w:jc w:val="both"/>
        <w:rPr>
          <w:rFonts w:ascii="Times New Roman" w:eastAsia="Times New Roman" w:hAnsi="Times New Roman" w:cs="Times New Roman"/>
          <w:sz w:val="24"/>
          <w:szCs w:val="24"/>
        </w:rPr>
      </w:pPr>
    </w:p>
    <w:p w14:paraId="176CA66B" w14:textId="77777777" w:rsidR="009F3AEA" w:rsidRDefault="009F3AEA">
      <w:pPr>
        <w:spacing w:line="240" w:lineRule="auto"/>
        <w:jc w:val="both"/>
        <w:rPr>
          <w:rFonts w:ascii="Times New Roman" w:eastAsia="Times New Roman" w:hAnsi="Times New Roman" w:cs="Times New Roman"/>
          <w:sz w:val="24"/>
          <w:szCs w:val="24"/>
        </w:rPr>
      </w:pPr>
    </w:p>
    <w:p w14:paraId="3E391476" w14:textId="77777777" w:rsidR="009F3AEA" w:rsidRDefault="00A52B9C">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A K L J U Č A K</w:t>
      </w:r>
    </w:p>
    <w:p w14:paraId="2ED2D88C" w14:textId="77777777" w:rsidR="009F3AEA" w:rsidRDefault="009F3AEA">
      <w:pPr>
        <w:spacing w:line="240" w:lineRule="auto"/>
        <w:jc w:val="both"/>
        <w:rPr>
          <w:rFonts w:ascii="Times New Roman" w:eastAsia="Times New Roman" w:hAnsi="Times New Roman" w:cs="Times New Roman"/>
          <w:sz w:val="24"/>
          <w:szCs w:val="24"/>
        </w:rPr>
      </w:pPr>
    </w:p>
    <w:p w14:paraId="69CA38FD"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 Udruzi umirovljenika Zagrebačke banke odobrava se povremeno korištenje dvorane u</w:t>
      </w:r>
    </w:p>
    <w:p w14:paraId="0DF942B7"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objektu mjesne samouprave, Zagreb, Trg hrvatskih velikana 2/1, srijedom, u periodu od 16</w:t>
      </w:r>
    </w:p>
    <w:p w14:paraId="2E81232C"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 18 sati.</w:t>
      </w:r>
    </w:p>
    <w:p w14:paraId="2B2F2DC5" w14:textId="77777777" w:rsidR="009F3AEA" w:rsidRDefault="009F3AEA">
      <w:pPr>
        <w:spacing w:line="240" w:lineRule="auto"/>
        <w:jc w:val="both"/>
        <w:rPr>
          <w:rFonts w:ascii="Times New Roman" w:eastAsia="Times New Roman" w:hAnsi="Times New Roman" w:cs="Times New Roman"/>
          <w:sz w:val="24"/>
          <w:szCs w:val="24"/>
        </w:rPr>
      </w:pPr>
    </w:p>
    <w:p w14:paraId="4BFBAFCA"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Prostor iz točke 1. ovog zaključka koristit će Udruga umirovljenika Zagrebačke banke bez</w:t>
      </w:r>
    </w:p>
    <w:p w14:paraId="1193AE54"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naknade.</w:t>
      </w:r>
    </w:p>
    <w:p w14:paraId="69938D1A" w14:textId="77777777" w:rsidR="009F3AEA" w:rsidRDefault="009F3AEA">
      <w:pPr>
        <w:spacing w:line="240" w:lineRule="auto"/>
        <w:jc w:val="both"/>
        <w:rPr>
          <w:rFonts w:ascii="Times New Roman" w:eastAsia="Times New Roman" w:hAnsi="Times New Roman" w:cs="Times New Roman"/>
          <w:sz w:val="24"/>
          <w:szCs w:val="24"/>
        </w:rPr>
      </w:pPr>
    </w:p>
    <w:p w14:paraId="5C990E50"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Udruga umirovljenika Zagrebačke banke se obvezuje sa prostorom prilikom korištenja</w:t>
      </w:r>
    </w:p>
    <w:p w14:paraId="76C6F42B"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postupati sa pažnjom dobrog gospodara.</w:t>
      </w:r>
    </w:p>
    <w:p w14:paraId="4991FF0C" w14:textId="77777777" w:rsidR="009F3AEA" w:rsidRDefault="009F3AEA">
      <w:pPr>
        <w:spacing w:line="240" w:lineRule="auto"/>
        <w:jc w:val="both"/>
        <w:rPr>
          <w:rFonts w:ascii="Times New Roman" w:eastAsia="Times New Roman" w:hAnsi="Times New Roman" w:cs="Times New Roman"/>
          <w:sz w:val="24"/>
          <w:szCs w:val="24"/>
        </w:rPr>
      </w:pPr>
    </w:p>
    <w:p w14:paraId="00F238B8"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O povremenom korištenju prostora iz točke l. ovog zaključka Gradski ured za mjesnu</w:t>
      </w:r>
    </w:p>
    <w:p w14:paraId="677697A6"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samoupravu, civilnu zaštitu i sigurnost izdat će odobrenje o korištenju, a u skladu s ovim</w:t>
      </w:r>
    </w:p>
    <w:p w14:paraId="4BA4ACF9"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zaključkom.</w:t>
      </w:r>
    </w:p>
    <w:p w14:paraId="078CA075" w14:textId="77777777" w:rsidR="009F3AEA" w:rsidRDefault="009F3AEA">
      <w:pPr>
        <w:spacing w:line="240" w:lineRule="auto"/>
        <w:jc w:val="both"/>
        <w:rPr>
          <w:rFonts w:ascii="Times New Roman" w:eastAsia="Times New Roman" w:hAnsi="Times New Roman" w:cs="Times New Roman"/>
          <w:sz w:val="24"/>
          <w:szCs w:val="24"/>
        </w:rPr>
      </w:pPr>
    </w:p>
    <w:p w14:paraId="38F44D5F" w14:textId="77777777" w:rsidR="009F3AEA" w:rsidRDefault="00A52B9C">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A K L J U Č A K</w:t>
      </w:r>
    </w:p>
    <w:p w14:paraId="0F48F714" w14:textId="77777777" w:rsidR="009F3AEA" w:rsidRDefault="009F3AEA">
      <w:pPr>
        <w:spacing w:line="240" w:lineRule="auto"/>
        <w:jc w:val="both"/>
        <w:rPr>
          <w:rFonts w:ascii="Times New Roman" w:eastAsia="Times New Roman" w:hAnsi="Times New Roman" w:cs="Times New Roman"/>
          <w:sz w:val="24"/>
          <w:szCs w:val="24"/>
        </w:rPr>
      </w:pPr>
    </w:p>
    <w:p w14:paraId="7D3B6B44"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 Teatru Cirkus Punkt odobrava se povremeno korištenje dvorane u objektu mjesne</w:t>
      </w:r>
    </w:p>
    <w:p w14:paraId="6B8F07F6"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samouprave, Zagreb, Trg hrvatskih velikana 2/1, ponedjeljkom od 13 do 15 sati, utorkom od</w:t>
      </w:r>
    </w:p>
    <w:p w14:paraId="693156BC"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do 17 sati, srijedom od 13 do 15 sati i petkom od 14 do 16 sati.</w:t>
      </w:r>
    </w:p>
    <w:p w14:paraId="24D95991" w14:textId="77777777" w:rsidR="009F3AEA" w:rsidRDefault="009F3AEA">
      <w:pPr>
        <w:spacing w:line="240" w:lineRule="auto"/>
        <w:jc w:val="both"/>
        <w:rPr>
          <w:rFonts w:ascii="Times New Roman" w:eastAsia="Times New Roman" w:hAnsi="Times New Roman" w:cs="Times New Roman"/>
          <w:sz w:val="24"/>
          <w:szCs w:val="24"/>
        </w:rPr>
      </w:pPr>
    </w:p>
    <w:p w14:paraId="414DDF66"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Prostor iz točke 1. ovog zaključka koristit će Teatar Cirkus Punkt bez naknade.</w:t>
      </w:r>
    </w:p>
    <w:p w14:paraId="63803015" w14:textId="77777777" w:rsidR="009F3AEA" w:rsidRDefault="009F3AEA">
      <w:pPr>
        <w:spacing w:line="240" w:lineRule="auto"/>
        <w:jc w:val="both"/>
        <w:rPr>
          <w:rFonts w:ascii="Times New Roman" w:eastAsia="Times New Roman" w:hAnsi="Times New Roman" w:cs="Times New Roman"/>
          <w:sz w:val="24"/>
          <w:szCs w:val="24"/>
        </w:rPr>
      </w:pPr>
    </w:p>
    <w:p w14:paraId="47C18246"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Teatar Cirkus Punkt se obvezuje sa prostorom prilikom korištenja postupati sa pažnjom</w:t>
      </w:r>
    </w:p>
    <w:p w14:paraId="65AF9FCE"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dobrog gospodara.</w:t>
      </w:r>
    </w:p>
    <w:p w14:paraId="1D927CA7" w14:textId="77777777" w:rsidR="009F3AEA" w:rsidRDefault="009F3AEA">
      <w:pPr>
        <w:spacing w:line="240" w:lineRule="auto"/>
        <w:jc w:val="both"/>
        <w:rPr>
          <w:rFonts w:ascii="Times New Roman" w:eastAsia="Times New Roman" w:hAnsi="Times New Roman" w:cs="Times New Roman"/>
          <w:sz w:val="24"/>
          <w:szCs w:val="24"/>
        </w:rPr>
      </w:pPr>
    </w:p>
    <w:p w14:paraId="17C4CBD7"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O povremenom korištenju prostora iz točke l. ovog zaključka Gradski ured za mjesnu</w:t>
      </w:r>
    </w:p>
    <w:p w14:paraId="73CCC148"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samoupravu, civilnu zaštitu i sigurnost izdat će odobrenje o korištenju, a u skladu s ovim</w:t>
      </w:r>
    </w:p>
    <w:p w14:paraId="111FE09E"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zaključkom.</w:t>
      </w:r>
    </w:p>
    <w:p w14:paraId="0EF8D1D0" w14:textId="77777777" w:rsidR="009F3AEA" w:rsidRDefault="009F3AEA">
      <w:pPr>
        <w:spacing w:line="240" w:lineRule="auto"/>
        <w:jc w:val="both"/>
        <w:rPr>
          <w:rFonts w:ascii="Times New Roman" w:eastAsia="Times New Roman" w:hAnsi="Times New Roman" w:cs="Times New Roman"/>
          <w:sz w:val="24"/>
          <w:szCs w:val="24"/>
        </w:rPr>
      </w:pPr>
    </w:p>
    <w:p w14:paraId="7A95C5D1" w14:textId="77777777" w:rsidR="009F3AEA" w:rsidRDefault="009F3AEA">
      <w:pPr>
        <w:spacing w:line="240" w:lineRule="auto"/>
        <w:jc w:val="both"/>
        <w:rPr>
          <w:rFonts w:ascii="Times New Roman" w:eastAsia="Times New Roman" w:hAnsi="Times New Roman" w:cs="Times New Roman"/>
          <w:sz w:val="24"/>
          <w:szCs w:val="24"/>
        </w:rPr>
      </w:pPr>
    </w:p>
    <w:p w14:paraId="5ED2D80A" w14:textId="77777777" w:rsidR="009F3AEA" w:rsidRDefault="00A52B9C">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A K L J U Č A K</w:t>
      </w:r>
    </w:p>
    <w:p w14:paraId="59B6CDE0" w14:textId="77777777" w:rsidR="009F3AEA" w:rsidRDefault="009F3AEA">
      <w:pPr>
        <w:spacing w:line="240" w:lineRule="auto"/>
        <w:jc w:val="both"/>
        <w:rPr>
          <w:rFonts w:ascii="Times New Roman" w:eastAsia="Times New Roman" w:hAnsi="Times New Roman" w:cs="Times New Roman"/>
          <w:sz w:val="24"/>
          <w:szCs w:val="24"/>
        </w:rPr>
      </w:pPr>
    </w:p>
    <w:p w14:paraId="5504E6D6"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 Gerontološkom centru „Medveščak“ odobrava se povremeno korištenje dvorane u objektu</w:t>
      </w:r>
    </w:p>
    <w:p w14:paraId="38187F20"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mjesne samouprave, Zagreb, Trg hrvatskih velikana 2/1, srijedom od 9 do 15 sati i petkom od</w:t>
      </w:r>
    </w:p>
    <w:p w14:paraId="1ED1D13C"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do 11 sati.</w:t>
      </w:r>
    </w:p>
    <w:p w14:paraId="72549FC5" w14:textId="77777777" w:rsidR="009F3AEA" w:rsidRDefault="009F3AEA">
      <w:pPr>
        <w:spacing w:line="240" w:lineRule="auto"/>
        <w:jc w:val="both"/>
        <w:rPr>
          <w:rFonts w:ascii="Times New Roman" w:eastAsia="Times New Roman" w:hAnsi="Times New Roman" w:cs="Times New Roman"/>
          <w:sz w:val="24"/>
          <w:szCs w:val="24"/>
        </w:rPr>
      </w:pPr>
    </w:p>
    <w:p w14:paraId="33823284"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Prostor iz točke 1. ovog zaključka koristit će Gerontološki centar „Medveščak“ bez</w:t>
      </w:r>
    </w:p>
    <w:p w14:paraId="24D8C5CD"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naknade.</w:t>
      </w:r>
    </w:p>
    <w:p w14:paraId="2B2906C4" w14:textId="77777777" w:rsidR="009F3AEA" w:rsidRDefault="009F3AEA">
      <w:pPr>
        <w:spacing w:line="240" w:lineRule="auto"/>
        <w:jc w:val="both"/>
        <w:rPr>
          <w:rFonts w:ascii="Times New Roman" w:eastAsia="Times New Roman" w:hAnsi="Times New Roman" w:cs="Times New Roman"/>
          <w:sz w:val="24"/>
          <w:szCs w:val="24"/>
        </w:rPr>
      </w:pPr>
    </w:p>
    <w:p w14:paraId="5FF55702"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Gerontološki centar „Medveščak“ se obvezuje sa prostorom prilikom korištenja postupati</w:t>
      </w:r>
    </w:p>
    <w:p w14:paraId="6217BE58"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 pažnjom dobrog gospodara.</w:t>
      </w:r>
    </w:p>
    <w:p w14:paraId="43EE0EE9" w14:textId="77777777" w:rsidR="009F3AEA" w:rsidRDefault="009F3AEA">
      <w:pPr>
        <w:spacing w:line="240" w:lineRule="auto"/>
        <w:jc w:val="both"/>
        <w:rPr>
          <w:rFonts w:ascii="Times New Roman" w:eastAsia="Times New Roman" w:hAnsi="Times New Roman" w:cs="Times New Roman"/>
          <w:sz w:val="24"/>
          <w:szCs w:val="24"/>
        </w:rPr>
      </w:pPr>
    </w:p>
    <w:p w14:paraId="1EBECB6D"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O povremenom korištenju prostora iz točke l. ovog zaključka Gradski ured za mjesnu</w:t>
      </w:r>
    </w:p>
    <w:p w14:paraId="188ED2B7"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samoupravu, civilnu zaštitu i sigurnost izdat će odobrenje o korištenju, a u skladu s ovim</w:t>
      </w:r>
    </w:p>
    <w:p w14:paraId="3A368036" w14:textId="77777777" w:rsidR="009F3AEA" w:rsidRDefault="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zaključkom.</w:t>
      </w:r>
    </w:p>
    <w:p w14:paraId="57E16744" w14:textId="77777777" w:rsidR="009F3AEA" w:rsidRDefault="009F3AEA">
      <w:pPr>
        <w:spacing w:line="240" w:lineRule="auto"/>
        <w:jc w:val="both"/>
        <w:rPr>
          <w:rFonts w:ascii="Times New Roman" w:eastAsia="Times New Roman" w:hAnsi="Times New Roman" w:cs="Times New Roman"/>
          <w:sz w:val="24"/>
          <w:szCs w:val="24"/>
        </w:rPr>
      </w:pPr>
    </w:p>
    <w:p w14:paraId="7D4378C3" w14:textId="77777777" w:rsidR="009F3AEA" w:rsidRDefault="009F3AEA">
      <w:pPr>
        <w:spacing w:line="240" w:lineRule="auto"/>
        <w:jc w:val="both"/>
        <w:rPr>
          <w:rFonts w:ascii="Times New Roman" w:eastAsia="Times New Roman" w:hAnsi="Times New Roman" w:cs="Times New Roman"/>
          <w:sz w:val="24"/>
          <w:szCs w:val="24"/>
        </w:rPr>
      </w:pPr>
    </w:p>
    <w:p w14:paraId="6FB877E7" w14:textId="0222B1F4" w:rsidR="009F3AEA" w:rsidRDefault="00A52B9C" w:rsidP="00A52B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ni</w:t>
      </w:r>
      <w:r w:rsidR="00E71DF9">
        <w:rPr>
          <w:rFonts w:ascii="Times New Roman" w:eastAsia="Times New Roman" w:hAnsi="Times New Roman" w:cs="Times New Roman"/>
          <w:sz w:val="24"/>
          <w:szCs w:val="24"/>
        </w:rPr>
        <w:t>j</w:t>
      </w:r>
      <w:r>
        <w:rPr>
          <w:rFonts w:ascii="Times New Roman" w:eastAsia="Times New Roman" w:hAnsi="Times New Roman" w:cs="Times New Roman"/>
          <w:sz w:val="24"/>
          <w:szCs w:val="24"/>
        </w:rPr>
        <w:t>e donijelo zaključak o korištenju prostora Domovinskom pokretu. Jedna osoba bila je za, jedna protiv te jedna suzdržana.</w:t>
      </w:r>
      <w:bookmarkStart w:id="5" w:name="_heading=h.2et92p0" w:colFirst="0" w:colLast="0"/>
      <w:bookmarkEnd w:id="5"/>
    </w:p>
    <w:p w14:paraId="68C94B72" w14:textId="77777777" w:rsidR="00E71DF9" w:rsidRDefault="00A52B9C">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Ad 5. Prijedlog Odluke o izradi izmjena i dopuna Generalnog urbanističkog plana Grada Zagreba, </w:t>
      </w:r>
      <w:r w:rsidRPr="00E71DF9">
        <w:rPr>
          <w:rFonts w:ascii="Times New Roman" w:eastAsia="Times New Roman" w:hAnsi="Times New Roman" w:cs="Times New Roman"/>
          <w:b/>
          <w:i/>
          <w:iCs/>
          <w:sz w:val="24"/>
          <w:szCs w:val="24"/>
        </w:rPr>
        <w:t>mišljenje, daje se</w:t>
      </w:r>
    </w:p>
    <w:p w14:paraId="3B1567F2" w14:textId="69ACA232" w:rsidR="009F3AEA" w:rsidRDefault="00E71DF9">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Članice Vijeća</w:t>
      </w:r>
      <w:r w:rsidR="00A52B9C">
        <w:rPr>
          <w:rFonts w:ascii="Times New Roman" w:eastAsia="Times New Roman" w:hAnsi="Times New Roman" w:cs="Times New Roman"/>
          <w:sz w:val="24"/>
          <w:szCs w:val="24"/>
        </w:rPr>
        <w:t xml:space="preserve"> su kao pripremu za sjednicu dobile spomenute dokumente te je predsjednica putem maila istaknula njihove najvažnije dijelove. Nakon kratke rasprave Vijeće je dalo pozitivno mišljenje o Prijedlog Odluke o izradi izmjena i dopuna Generalnog urbanističkog plana Grada Zagreba.</w:t>
      </w:r>
    </w:p>
    <w:p w14:paraId="1ED74BDB" w14:textId="197D4BE6" w:rsidR="00E71DF9" w:rsidRDefault="00E71DF9">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Vijeće </w:t>
      </w:r>
      <w:bookmarkStart w:id="6" w:name="_Hlk132881890"/>
      <w:r>
        <w:rPr>
          <w:rFonts w:ascii="Times New Roman" w:eastAsia="Times New Roman" w:hAnsi="Times New Roman" w:cs="Times New Roman"/>
          <w:sz w:val="24"/>
          <w:szCs w:val="24"/>
        </w:rPr>
        <w:t>Mjesnog odbora „Hrvatski narodni vladari“ donosi</w:t>
      </w:r>
      <w:bookmarkEnd w:id="6"/>
    </w:p>
    <w:p w14:paraId="76D575DE" w14:textId="7617B224" w:rsidR="00E71DF9" w:rsidRDefault="00E71DF9">
      <w:pPr>
        <w:spacing w:before="240" w:after="240"/>
        <w:jc w:val="both"/>
        <w:rPr>
          <w:rFonts w:ascii="Times New Roman" w:eastAsia="Times New Roman" w:hAnsi="Times New Roman" w:cs="Times New Roman"/>
          <w:sz w:val="24"/>
          <w:szCs w:val="24"/>
        </w:rPr>
      </w:pPr>
    </w:p>
    <w:p w14:paraId="6651DC03" w14:textId="686BAACC" w:rsidR="00E71DF9" w:rsidRDefault="00E71DF9" w:rsidP="00E71DF9">
      <w:pPr>
        <w:jc w:val="center"/>
        <w:rPr>
          <w:rFonts w:ascii="Times New Roman" w:eastAsia="Times New Roman" w:hAnsi="Times New Roman" w:cstheme="minorBidi"/>
          <w:b/>
          <w:sz w:val="24"/>
          <w:szCs w:val="24"/>
          <w:lang w:eastAsia="en-US"/>
        </w:rPr>
      </w:pPr>
      <w:bookmarkStart w:id="7" w:name="_Hlk132881903"/>
      <w:r w:rsidRPr="00E71DF9">
        <w:rPr>
          <w:rFonts w:ascii="Times New Roman" w:eastAsia="Times New Roman" w:hAnsi="Times New Roman" w:cstheme="minorBidi"/>
          <w:b/>
          <w:sz w:val="24"/>
          <w:szCs w:val="24"/>
          <w:lang w:eastAsia="en-US"/>
        </w:rPr>
        <w:t>Z A K L J U Č A K</w:t>
      </w:r>
    </w:p>
    <w:p w14:paraId="058451D8" w14:textId="77777777" w:rsidR="00B97800" w:rsidRPr="00E71DF9" w:rsidRDefault="00B97800" w:rsidP="00E71DF9">
      <w:pPr>
        <w:jc w:val="center"/>
        <w:rPr>
          <w:rFonts w:ascii="Times New Roman" w:eastAsia="Times New Roman" w:hAnsi="Times New Roman" w:cstheme="minorBidi"/>
          <w:b/>
          <w:sz w:val="24"/>
          <w:szCs w:val="24"/>
          <w:lang w:eastAsia="en-US"/>
        </w:rPr>
      </w:pPr>
    </w:p>
    <w:p w14:paraId="6D724032" w14:textId="77777777" w:rsidR="00E71DF9" w:rsidRPr="00E71DF9" w:rsidRDefault="00E71DF9" w:rsidP="00E71DF9">
      <w:pPr>
        <w:tabs>
          <w:tab w:val="left" w:pos="1080"/>
        </w:tabs>
        <w:ind w:left="2520" w:right="-1" w:hanging="2520"/>
        <w:jc w:val="center"/>
        <w:rPr>
          <w:rFonts w:ascii="Times New Roman" w:eastAsia="Times New Roman" w:hAnsi="Times New Roman" w:cstheme="minorBidi"/>
          <w:b/>
          <w:sz w:val="24"/>
          <w:szCs w:val="24"/>
          <w:lang w:val="pl-PL" w:eastAsia="en-US"/>
        </w:rPr>
      </w:pPr>
      <w:r w:rsidRPr="00E71DF9">
        <w:rPr>
          <w:rFonts w:ascii="Times New Roman" w:eastAsia="Times New Roman" w:hAnsi="Times New Roman" w:cstheme="minorBidi"/>
          <w:b/>
          <w:sz w:val="24"/>
          <w:szCs w:val="24"/>
          <w:lang w:val="pl-PL" w:eastAsia="en-US"/>
        </w:rPr>
        <w:t xml:space="preserve">o prijedlogu Odluke o izradi izmjena i dopuna Generalnog urbanističkog plana </w:t>
      </w:r>
    </w:p>
    <w:p w14:paraId="09F98BCB" w14:textId="17404988" w:rsidR="00E71DF9" w:rsidRPr="00E71DF9" w:rsidRDefault="00E71DF9" w:rsidP="00E71DF9">
      <w:pPr>
        <w:tabs>
          <w:tab w:val="left" w:pos="1080"/>
        </w:tabs>
        <w:ind w:left="2520" w:right="-1" w:hanging="2520"/>
        <w:jc w:val="center"/>
        <w:rPr>
          <w:rFonts w:ascii="Times New Roman" w:eastAsia="Times New Roman" w:hAnsi="Times New Roman" w:cstheme="minorBidi"/>
          <w:b/>
          <w:sz w:val="24"/>
          <w:szCs w:val="24"/>
          <w:lang w:val="pl-PL" w:eastAsia="en-US"/>
        </w:rPr>
      </w:pPr>
      <w:r w:rsidRPr="00E71DF9">
        <w:rPr>
          <w:rFonts w:ascii="Times New Roman" w:eastAsia="Times New Roman" w:hAnsi="Times New Roman" w:cstheme="minorBidi"/>
          <w:b/>
          <w:sz w:val="24"/>
          <w:szCs w:val="24"/>
          <w:lang w:val="pl-PL" w:eastAsia="en-US"/>
        </w:rPr>
        <w:t>Grada Zagreba</w:t>
      </w:r>
    </w:p>
    <w:p w14:paraId="45748FB0" w14:textId="77777777" w:rsidR="00E71DF9" w:rsidRPr="00E71DF9" w:rsidRDefault="00E71DF9" w:rsidP="00E71DF9">
      <w:pPr>
        <w:jc w:val="center"/>
        <w:rPr>
          <w:rFonts w:ascii="Times New Roman" w:eastAsia="Times New Roman" w:hAnsi="Times New Roman" w:cstheme="minorBidi"/>
          <w:sz w:val="24"/>
          <w:szCs w:val="24"/>
          <w:lang w:eastAsia="en-US"/>
        </w:rPr>
      </w:pPr>
    </w:p>
    <w:p w14:paraId="23B926F9" w14:textId="6CF10FF9" w:rsidR="00E71DF9" w:rsidRPr="00E71DF9" w:rsidRDefault="00E71DF9" w:rsidP="00E71DF9">
      <w:pPr>
        <w:numPr>
          <w:ilvl w:val="0"/>
          <w:numId w:val="2"/>
        </w:numPr>
        <w:ind w:left="644"/>
        <w:contextualSpacing/>
        <w:jc w:val="both"/>
        <w:rPr>
          <w:rFonts w:ascii="Times New Roman" w:eastAsia="Times New Roman" w:hAnsi="Times New Roman" w:cs="Times New Roman"/>
          <w:sz w:val="24"/>
          <w:szCs w:val="24"/>
        </w:rPr>
      </w:pPr>
      <w:r w:rsidRPr="00E71DF9">
        <w:rPr>
          <w:rFonts w:ascii="Times New Roman" w:eastAsia="Times New Roman" w:hAnsi="Times New Roman" w:cs="Times New Roman"/>
          <w:sz w:val="24"/>
          <w:szCs w:val="24"/>
        </w:rPr>
        <w:t>Vijeće Mjesnog odbora „</w:t>
      </w:r>
      <w:r>
        <w:rPr>
          <w:rFonts w:ascii="Times New Roman" w:eastAsia="Times New Roman" w:hAnsi="Times New Roman" w:cs="Times New Roman"/>
          <w:sz w:val="24"/>
          <w:szCs w:val="24"/>
        </w:rPr>
        <w:t>Hrvatski narodni vladari</w:t>
      </w:r>
      <w:r w:rsidRPr="00E71DF9">
        <w:rPr>
          <w:rFonts w:ascii="Times New Roman" w:eastAsia="Times New Roman" w:hAnsi="Times New Roman" w:cs="Times New Roman"/>
          <w:sz w:val="24"/>
          <w:szCs w:val="24"/>
        </w:rPr>
        <w:t>“ daje pozitivno mišljenje o prijedlogu Odluke o izradi izmjena i dopuna Generalnog urbanističkog plana Grada Zagreba</w:t>
      </w:r>
    </w:p>
    <w:p w14:paraId="1118D9F4" w14:textId="77777777" w:rsidR="00E71DF9" w:rsidRPr="00E71DF9" w:rsidRDefault="00E71DF9" w:rsidP="00E71DF9">
      <w:pPr>
        <w:jc w:val="both"/>
        <w:rPr>
          <w:rFonts w:ascii="Times New Roman" w:eastAsia="Times New Roman" w:hAnsi="Times New Roman" w:cs="Times New Roman"/>
          <w:sz w:val="24"/>
          <w:szCs w:val="24"/>
        </w:rPr>
      </w:pPr>
    </w:p>
    <w:p w14:paraId="016E21AA" w14:textId="77777777" w:rsidR="00E71DF9" w:rsidRPr="00E71DF9" w:rsidRDefault="00E71DF9" w:rsidP="00E71DF9">
      <w:pPr>
        <w:numPr>
          <w:ilvl w:val="0"/>
          <w:numId w:val="2"/>
        </w:numPr>
        <w:ind w:left="644"/>
        <w:contextualSpacing/>
        <w:jc w:val="both"/>
        <w:rPr>
          <w:rFonts w:ascii="Times New Roman" w:eastAsia="Times New Roman" w:hAnsi="Times New Roman" w:cs="Times New Roman"/>
          <w:sz w:val="24"/>
          <w:szCs w:val="24"/>
        </w:rPr>
      </w:pPr>
      <w:r w:rsidRPr="00E71DF9">
        <w:rPr>
          <w:rFonts w:ascii="Times New Roman" w:eastAsia="Times New Roman" w:hAnsi="Times New Roman" w:cs="Times New Roman"/>
          <w:sz w:val="24"/>
          <w:szCs w:val="24"/>
        </w:rPr>
        <w:t>Ovaj se zaključak dostavlja Vijeću Gradske četvrti Donji grad.</w:t>
      </w:r>
    </w:p>
    <w:bookmarkEnd w:id="7"/>
    <w:p w14:paraId="3F4170B4" w14:textId="77777777" w:rsidR="009F3AEA" w:rsidRDefault="009F3AEA">
      <w:pPr>
        <w:spacing w:before="240" w:after="240"/>
        <w:jc w:val="both"/>
        <w:rPr>
          <w:rFonts w:ascii="Times New Roman" w:eastAsia="Times New Roman" w:hAnsi="Times New Roman" w:cs="Times New Roman"/>
          <w:sz w:val="24"/>
          <w:szCs w:val="24"/>
        </w:rPr>
      </w:pPr>
    </w:p>
    <w:p w14:paraId="4C8D6F4C" w14:textId="3D1552BE" w:rsidR="009F3AEA" w:rsidRDefault="00A52B9C">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Ad 6. Prijedlog Odluke o izradi izmjena i dopuna Generalnog urbanističkog plana Sesveta, </w:t>
      </w:r>
      <w:r w:rsidRPr="00E71DF9">
        <w:rPr>
          <w:rFonts w:ascii="Times New Roman" w:eastAsia="Times New Roman" w:hAnsi="Times New Roman" w:cs="Times New Roman"/>
          <w:b/>
          <w:i/>
          <w:iCs/>
          <w:sz w:val="24"/>
          <w:szCs w:val="24"/>
        </w:rPr>
        <w:t>mišljenje, daje se</w:t>
      </w:r>
    </w:p>
    <w:p w14:paraId="68F3A281" w14:textId="41B108F5"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Nakon kratke rasprave Vijeće je odlučilo izuzeti se od davanja mišljenja o Prijedlogu Odluke o izradi izmjena i dopuna Generalnog urbanističkog plana Sesveta, s obzirom na to da su Sesvete samostalna administrativna jedinica.</w:t>
      </w:r>
    </w:p>
    <w:p w14:paraId="3FB17000" w14:textId="2A92F4F6" w:rsidR="00917B87" w:rsidRDefault="00917B8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Mjesnog odbora „Hrvatski narodni vladari“ donosi</w:t>
      </w:r>
    </w:p>
    <w:p w14:paraId="47D97708" w14:textId="40447701" w:rsidR="00917B87" w:rsidRDefault="00917B87" w:rsidP="00917B87">
      <w:pPr>
        <w:jc w:val="center"/>
        <w:rPr>
          <w:rFonts w:ascii="Times New Roman" w:eastAsia="Times New Roman" w:hAnsi="Times New Roman" w:cstheme="minorBidi"/>
          <w:b/>
          <w:sz w:val="24"/>
          <w:szCs w:val="24"/>
          <w:lang w:eastAsia="en-US"/>
        </w:rPr>
      </w:pPr>
      <w:r w:rsidRPr="00E71DF9">
        <w:rPr>
          <w:rFonts w:ascii="Times New Roman" w:eastAsia="Times New Roman" w:hAnsi="Times New Roman" w:cstheme="minorBidi"/>
          <w:b/>
          <w:sz w:val="24"/>
          <w:szCs w:val="24"/>
          <w:lang w:eastAsia="en-US"/>
        </w:rPr>
        <w:t>Z A K L J U Č A K</w:t>
      </w:r>
    </w:p>
    <w:p w14:paraId="1D96294C" w14:textId="77777777" w:rsidR="00B97800" w:rsidRPr="00E71DF9" w:rsidRDefault="00B97800" w:rsidP="00917B87">
      <w:pPr>
        <w:jc w:val="center"/>
        <w:rPr>
          <w:rFonts w:ascii="Times New Roman" w:eastAsia="Times New Roman" w:hAnsi="Times New Roman" w:cstheme="minorBidi"/>
          <w:b/>
          <w:sz w:val="24"/>
          <w:szCs w:val="24"/>
          <w:lang w:eastAsia="en-US"/>
        </w:rPr>
      </w:pPr>
    </w:p>
    <w:p w14:paraId="7CB83FB9" w14:textId="77777777" w:rsidR="00917B87" w:rsidRPr="00E71DF9" w:rsidRDefault="00917B87" w:rsidP="00917B87">
      <w:pPr>
        <w:tabs>
          <w:tab w:val="left" w:pos="1080"/>
        </w:tabs>
        <w:ind w:left="2520" w:right="-1" w:hanging="2520"/>
        <w:jc w:val="center"/>
        <w:rPr>
          <w:rFonts w:ascii="Times New Roman" w:eastAsia="Times New Roman" w:hAnsi="Times New Roman" w:cstheme="minorBidi"/>
          <w:b/>
          <w:sz w:val="24"/>
          <w:szCs w:val="24"/>
          <w:lang w:val="pl-PL" w:eastAsia="en-US"/>
        </w:rPr>
      </w:pPr>
      <w:r w:rsidRPr="00E71DF9">
        <w:rPr>
          <w:rFonts w:ascii="Times New Roman" w:eastAsia="Times New Roman" w:hAnsi="Times New Roman" w:cstheme="minorBidi"/>
          <w:b/>
          <w:sz w:val="24"/>
          <w:szCs w:val="24"/>
          <w:lang w:val="pl-PL" w:eastAsia="en-US"/>
        </w:rPr>
        <w:t xml:space="preserve">o prijedlogu Odluke o izradi izmjena i dopuna Generalnog urbanističkog plana </w:t>
      </w:r>
    </w:p>
    <w:p w14:paraId="4371A9E6" w14:textId="5EA51F18" w:rsidR="00917B87" w:rsidRPr="00E71DF9" w:rsidRDefault="00917B87" w:rsidP="00917B87">
      <w:pPr>
        <w:tabs>
          <w:tab w:val="left" w:pos="1080"/>
        </w:tabs>
        <w:ind w:left="2520" w:right="-1" w:hanging="2520"/>
        <w:jc w:val="center"/>
        <w:rPr>
          <w:rFonts w:ascii="Times New Roman" w:eastAsia="Times New Roman" w:hAnsi="Times New Roman" w:cstheme="minorBidi"/>
          <w:b/>
          <w:sz w:val="24"/>
          <w:szCs w:val="24"/>
          <w:lang w:val="pl-PL" w:eastAsia="en-US"/>
        </w:rPr>
      </w:pPr>
      <w:r>
        <w:rPr>
          <w:rFonts w:ascii="Times New Roman" w:eastAsia="Times New Roman" w:hAnsi="Times New Roman" w:cstheme="minorBidi"/>
          <w:b/>
          <w:sz w:val="24"/>
          <w:szCs w:val="24"/>
          <w:lang w:val="pl-PL" w:eastAsia="en-US"/>
        </w:rPr>
        <w:t>Sesveta</w:t>
      </w:r>
    </w:p>
    <w:p w14:paraId="7A8FA29C" w14:textId="77777777" w:rsidR="00917B87" w:rsidRPr="00E71DF9" w:rsidRDefault="00917B87" w:rsidP="00917B87">
      <w:pPr>
        <w:jc w:val="center"/>
        <w:rPr>
          <w:rFonts w:ascii="Times New Roman" w:eastAsia="Times New Roman" w:hAnsi="Times New Roman" w:cstheme="minorBidi"/>
          <w:sz w:val="24"/>
          <w:szCs w:val="24"/>
          <w:lang w:eastAsia="en-US"/>
        </w:rPr>
      </w:pPr>
    </w:p>
    <w:p w14:paraId="735E3481" w14:textId="57E034AF" w:rsidR="00917B87" w:rsidRPr="00E71DF9" w:rsidRDefault="00917B87" w:rsidP="00A52B9C">
      <w:pPr>
        <w:numPr>
          <w:ilvl w:val="0"/>
          <w:numId w:val="4"/>
        </w:numPr>
        <w:contextualSpacing/>
        <w:jc w:val="both"/>
        <w:rPr>
          <w:rFonts w:ascii="Times New Roman" w:eastAsia="Times New Roman" w:hAnsi="Times New Roman" w:cs="Times New Roman"/>
          <w:sz w:val="24"/>
          <w:szCs w:val="24"/>
        </w:rPr>
      </w:pPr>
      <w:r w:rsidRPr="00E71DF9">
        <w:rPr>
          <w:rFonts w:ascii="Times New Roman" w:eastAsia="Times New Roman" w:hAnsi="Times New Roman" w:cs="Times New Roman"/>
          <w:sz w:val="24"/>
          <w:szCs w:val="24"/>
        </w:rPr>
        <w:t>Vijeće Mjesnog odbora „</w:t>
      </w:r>
      <w:r>
        <w:rPr>
          <w:rFonts w:ascii="Times New Roman" w:eastAsia="Times New Roman" w:hAnsi="Times New Roman" w:cs="Times New Roman"/>
          <w:sz w:val="24"/>
          <w:szCs w:val="24"/>
        </w:rPr>
        <w:t>Hrvatski narodni vladari</w:t>
      </w:r>
      <w:r w:rsidRPr="00E71DF9">
        <w:rPr>
          <w:rFonts w:ascii="Times New Roman" w:eastAsia="Times New Roman" w:hAnsi="Times New Roman" w:cs="Times New Roman"/>
          <w:sz w:val="24"/>
          <w:szCs w:val="24"/>
        </w:rPr>
        <w:t xml:space="preserve">“ </w:t>
      </w:r>
      <w:r w:rsidR="00E30028">
        <w:rPr>
          <w:rFonts w:ascii="Times New Roman" w:eastAsia="Times New Roman" w:hAnsi="Times New Roman" w:cs="Times New Roman"/>
          <w:sz w:val="24"/>
          <w:szCs w:val="24"/>
        </w:rPr>
        <w:t>je suzdržano od davanja</w:t>
      </w:r>
      <w:r w:rsidRPr="00E71DF9">
        <w:rPr>
          <w:rFonts w:ascii="Times New Roman" w:eastAsia="Times New Roman" w:hAnsi="Times New Roman" w:cs="Times New Roman"/>
          <w:sz w:val="24"/>
          <w:szCs w:val="24"/>
        </w:rPr>
        <w:t xml:space="preserve"> mišljenje o prijedlogu Odluke o izradi izmjena i dopuna Generalnog urbanističkog plana Grada Zagreba</w:t>
      </w:r>
    </w:p>
    <w:p w14:paraId="00112032" w14:textId="77777777" w:rsidR="00917B87" w:rsidRPr="00E71DF9" w:rsidRDefault="00917B87" w:rsidP="00917B87">
      <w:pPr>
        <w:jc w:val="both"/>
        <w:rPr>
          <w:rFonts w:ascii="Times New Roman" w:eastAsia="Times New Roman" w:hAnsi="Times New Roman" w:cs="Times New Roman"/>
          <w:sz w:val="24"/>
          <w:szCs w:val="24"/>
        </w:rPr>
      </w:pPr>
    </w:p>
    <w:p w14:paraId="4594F373" w14:textId="08119C96" w:rsidR="007236B9" w:rsidRDefault="00917B87" w:rsidP="00A52B9C">
      <w:pPr>
        <w:numPr>
          <w:ilvl w:val="0"/>
          <w:numId w:val="4"/>
        </w:numPr>
        <w:contextualSpacing/>
        <w:jc w:val="both"/>
        <w:rPr>
          <w:rFonts w:ascii="Times New Roman" w:eastAsia="Times New Roman" w:hAnsi="Times New Roman" w:cs="Times New Roman"/>
          <w:sz w:val="24"/>
          <w:szCs w:val="24"/>
        </w:rPr>
      </w:pPr>
      <w:r w:rsidRPr="00E71DF9">
        <w:rPr>
          <w:rFonts w:ascii="Times New Roman" w:eastAsia="Times New Roman" w:hAnsi="Times New Roman" w:cs="Times New Roman"/>
          <w:sz w:val="24"/>
          <w:szCs w:val="24"/>
        </w:rPr>
        <w:t>Ovaj se zaključak dostavlja Vijeću Gradske četvrti Donji grad.</w:t>
      </w:r>
    </w:p>
    <w:p w14:paraId="26B0C9CA" w14:textId="673A03B1" w:rsidR="00A52B9C" w:rsidRDefault="00A52B9C" w:rsidP="00A52B9C">
      <w:pPr>
        <w:ind w:left="644"/>
        <w:contextualSpacing/>
        <w:jc w:val="both"/>
        <w:rPr>
          <w:rFonts w:ascii="Times New Roman" w:eastAsia="Times New Roman" w:hAnsi="Times New Roman" w:cs="Times New Roman"/>
          <w:sz w:val="24"/>
          <w:szCs w:val="24"/>
        </w:rPr>
      </w:pPr>
    </w:p>
    <w:p w14:paraId="37AC8C88" w14:textId="77777777" w:rsidR="00A52B9C" w:rsidRDefault="00A52B9C" w:rsidP="00A52B9C">
      <w:pPr>
        <w:ind w:left="644"/>
        <w:contextualSpacing/>
        <w:jc w:val="both"/>
        <w:rPr>
          <w:rFonts w:ascii="Times New Roman" w:eastAsia="Times New Roman" w:hAnsi="Times New Roman" w:cs="Times New Roman"/>
          <w:sz w:val="24"/>
          <w:szCs w:val="24"/>
        </w:rPr>
      </w:pPr>
    </w:p>
    <w:p w14:paraId="63CC8DD1" w14:textId="4D8EEC3A" w:rsidR="009F3AEA" w:rsidRPr="007236B9" w:rsidRDefault="00A52B9C" w:rsidP="007236B9">
      <w:pPr>
        <w:contextualSpacing/>
        <w:jc w:val="both"/>
        <w:rPr>
          <w:rFonts w:ascii="Times New Roman" w:eastAsia="Times New Roman" w:hAnsi="Times New Roman" w:cs="Times New Roman"/>
          <w:sz w:val="24"/>
          <w:szCs w:val="24"/>
        </w:rPr>
      </w:pPr>
      <w:r w:rsidRPr="007236B9">
        <w:rPr>
          <w:rFonts w:ascii="Times New Roman" w:eastAsia="Times New Roman" w:hAnsi="Times New Roman" w:cs="Times New Roman"/>
          <w:b/>
          <w:sz w:val="24"/>
          <w:szCs w:val="24"/>
        </w:rPr>
        <w:t xml:space="preserve">Ad 7. </w:t>
      </w:r>
      <w:r w:rsidR="007236B9">
        <w:rPr>
          <w:rFonts w:ascii="Times New Roman" w:eastAsia="Times New Roman" w:hAnsi="Times New Roman" w:cs="Times New Roman"/>
          <w:b/>
          <w:sz w:val="24"/>
          <w:szCs w:val="24"/>
        </w:rPr>
        <w:t>S</w:t>
      </w:r>
      <w:r w:rsidRPr="007236B9">
        <w:rPr>
          <w:rFonts w:ascii="Times New Roman" w:eastAsia="Times New Roman" w:hAnsi="Times New Roman" w:cs="Times New Roman"/>
          <w:b/>
          <w:sz w:val="24"/>
          <w:szCs w:val="24"/>
        </w:rPr>
        <w:t xml:space="preserve">tanje na uglu Đorđićeve ulice i Ulice kneza Mutimira i novo asfaltiranje, </w:t>
      </w:r>
      <w:r w:rsidRPr="007236B9">
        <w:rPr>
          <w:rFonts w:ascii="Times New Roman" w:eastAsia="Times New Roman" w:hAnsi="Times New Roman" w:cs="Times New Roman"/>
          <w:b/>
          <w:i/>
          <w:sz w:val="24"/>
          <w:szCs w:val="24"/>
        </w:rPr>
        <w:t>donošenje zaključka</w:t>
      </w:r>
    </w:p>
    <w:p w14:paraId="396966B7" w14:textId="59FC5956"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 asfalterski program za 2023. ušlo je asfaltiranje ugl</w:t>
      </w:r>
      <w:r w:rsidR="007236B9">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Đorđićeve ulice i Ulice kneza Mutimira, što je kroz ožujak 2023. i izvršeno. </w:t>
      </w:r>
      <w:r w:rsidR="007236B9">
        <w:rPr>
          <w:rFonts w:ascii="Times New Roman" w:eastAsia="Times New Roman" w:hAnsi="Times New Roman" w:cs="Times New Roman"/>
          <w:sz w:val="24"/>
          <w:szCs w:val="24"/>
        </w:rPr>
        <w:t>Članice Vijeća</w:t>
      </w:r>
      <w:r>
        <w:rPr>
          <w:rFonts w:ascii="Times New Roman" w:eastAsia="Times New Roman" w:hAnsi="Times New Roman" w:cs="Times New Roman"/>
          <w:sz w:val="24"/>
          <w:szCs w:val="24"/>
        </w:rPr>
        <w:t xml:space="preserve"> su međutim zaključile da je izvršeno stanje neprihvatljivo, estetski neuredno i nereprezentativno, te ovom intervencijom površina nogostupa nije adekvatno izravnata, što je čini opasnim. Stoga je Vijeće donijelo jednoglasno</w:t>
      </w:r>
    </w:p>
    <w:p w14:paraId="1B964184" w14:textId="77777777" w:rsidR="009F3AEA" w:rsidRDefault="009F3AEA">
      <w:pPr>
        <w:spacing w:before="240" w:after="240"/>
        <w:jc w:val="both"/>
        <w:rPr>
          <w:rFonts w:ascii="Times New Roman" w:eastAsia="Times New Roman" w:hAnsi="Times New Roman" w:cs="Times New Roman"/>
          <w:b/>
          <w:sz w:val="24"/>
          <w:szCs w:val="24"/>
        </w:rPr>
      </w:pPr>
    </w:p>
    <w:p w14:paraId="6E5C1FEB" w14:textId="113600D2" w:rsidR="009F3AEA" w:rsidRDefault="00A52B9C">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ZAKLJUČAK</w:t>
      </w:r>
      <w:r w:rsidR="007236B9">
        <w:rPr>
          <w:rFonts w:ascii="Times New Roman" w:eastAsia="Times New Roman" w:hAnsi="Times New Roman" w:cs="Times New Roman"/>
          <w:b/>
          <w:sz w:val="24"/>
          <w:szCs w:val="24"/>
        </w:rPr>
        <w:t xml:space="preserve"> </w:t>
      </w:r>
    </w:p>
    <w:p w14:paraId="5FCA23BF" w14:textId="1AE82094" w:rsidR="007236B9" w:rsidRDefault="007236B9">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 ponovnom asfaltiranju ugla Đorđićeve ulice i Ulice kneza Mutimira</w:t>
      </w:r>
    </w:p>
    <w:p w14:paraId="5F4178B3" w14:textId="52C4CFC1" w:rsidR="009F3AEA" w:rsidRDefault="007236B9" w:rsidP="00A52B9C">
      <w:pPr>
        <w:pStyle w:val="ListParagraph"/>
        <w:numPr>
          <w:ilvl w:val="0"/>
          <w:numId w:val="5"/>
        </w:numPr>
        <w:spacing w:before="240" w:after="240"/>
        <w:jc w:val="both"/>
        <w:rPr>
          <w:rFonts w:ascii="Times New Roman" w:eastAsia="Times New Roman" w:hAnsi="Times New Roman" w:cs="Times New Roman"/>
          <w:sz w:val="24"/>
          <w:szCs w:val="24"/>
        </w:rPr>
      </w:pPr>
      <w:r w:rsidRPr="00A52B9C">
        <w:rPr>
          <w:rFonts w:ascii="Times New Roman" w:eastAsia="Times New Roman" w:hAnsi="Times New Roman" w:cs="Times New Roman"/>
          <w:sz w:val="24"/>
          <w:szCs w:val="24"/>
        </w:rPr>
        <w:t>Vijeće Mjesnog odbora traži ponovno</w:t>
      </w:r>
      <w:r w:rsidR="00A52B9C" w:rsidRPr="00A52B9C">
        <w:rPr>
          <w:rFonts w:ascii="Times New Roman" w:eastAsia="Times New Roman" w:hAnsi="Times New Roman" w:cs="Times New Roman"/>
          <w:sz w:val="24"/>
          <w:szCs w:val="24"/>
        </w:rPr>
        <w:t xml:space="preserve"> asfaltiranju ugl</w:t>
      </w:r>
      <w:r w:rsidRPr="00A52B9C">
        <w:rPr>
          <w:rFonts w:ascii="Times New Roman" w:eastAsia="Times New Roman" w:hAnsi="Times New Roman" w:cs="Times New Roman"/>
          <w:sz w:val="24"/>
          <w:szCs w:val="24"/>
        </w:rPr>
        <w:t>a</w:t>
      </w:r>
      <w:r w:rsidR="00A52B9C" w:rsidRPr="00A52B9C">
        <w:rPr>
          <w:rFonts w:ascii="Times New Roman" w:eastAsia="Times New Roman" w:hAnsi="Times New Roman" w:cs="Times New Roman"/>
          <w:sz w:val="24"/>
          <w:szCs w:val="24"/>
        </w:rPr>
        <w:t xml:space="preserve"> Đorđićeve ulice i Ulice kneza Mutimira uz prethodne konzultacije s </w:t>
      </w:r>
      <w:r w:rsidRPr="00A52B9C">
        <w:rPr>
          <w:rFonts w:ascii="Times New Roman" w:eastAsia="Times New Roman" w:hAnsi="Times New Roman" w:cs="Times New Roman"/>
          <w:sz w:val="24"/>
          <w:szCs w:val="24"/>
        </w:rPr>
        <w:t>članicama</w:t>
      </w:r>
      <w:r w:rsidR="00A52B9C" w:rsidRPr="00A52B9C">
        <w:rPr>
          <w:rFonts w:ascii="Times New Roman" w:eastAsia="Times New Roman" w:hAnsi="Times New Roman" w:cs="Times New Roman"/>
          <w:sz w:val="24"/>
          <w:szCs w:val="24"/>
        </w:rPr>
        <w:t xml:space="preserve"> Vijeća Mjesnog odbora.</w:t>
      </w:r>
    </w:p>
    <w:p w14:paraId="6363053D" w14:textId="77777777" w:rsidR="00A52B9C" w:rsidRPr="00A52B9C" w:rsidRDefault="00A52B9C" w:rsidP="00A52B9C">
      <w:pPr>
        <w:pStyle w:val="ListParagraph"/>
        <w:spacing w:before="240" w:after="240"/>
        <w:ind w:left="360"/>
        <w:jc w:val="both"/>
        <w:rPr>
          <w:rFonts w:ascii="Times New Roman" w:eastAsia="Times New Roman" w:hAnsi="Times New Roman" w:cs="Times New Roman"/>
          <w:sz w:val="24"/>
          <w:szCs w:val="24"/>
        </w:rPr>
      </w:pPr>
    </w:p>
    <w:p w14:paraId="6DC04E74" w14:textId="415D74A3" w:rsidR="009F3AEA" w:rsidRPr="00A52B9C" w:rsidRDefault="00A52B9C" w:rsidP="00A52B9C">
      <w:pPr>
        <w:pStyle w:val="ListParagraph"/>
        <w:numPr>
          <w:ilvl w:val="0"/>
          <w:numId w:val="5"/>
        </w:numPr>
        <w:spacing w:before="240" w:after="240"/>
        <w:jc w:val="both"/>
        <w:rPr>
          <w:rFonts w:ascii="Times New Roman" w:eastAsia="Times New Roman" w:hAnsi="Times New Roman" w:cs="Times New Roman"/>
          <w:sz w:val="24"/>
          <w:szCs w:val="24"/>
        </w:rPr>
      </w:pPr>
      <w:r w:rsidRPr="00A52B9C">
        <w:rPr>
          <w:rFonts w:ascii="Times New Roman" w:eastAsia="Times New Roman" w:hAnsi="Times New Roman" w:cs="Times New Roman"/>
          <w:sz w:val="24"/>
          <w:szCs w:val="24"/>
        </w:rPr>
        <w:t>Ovaj zaključak se dostavlja Vijeću Gradske četvrti Donji grad na daljnje postupanje.</w:t>
      </w:r>
    </w:p>
    <w:p w14:paraId="058EB9C5" w14:textId="77777777"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Foto dokumentaciju dostavljamo u privitku.</w:t>
      </w:r>
    </w:p>
    <w:p w14:paraId="4F797755" w14:textId="77777777" w:rsidR="009F3AEA" w:rsidRDefault="009F3AEA">
      <w:pPr>
        <w:spacing w:before="240" w:after="240"/>
        <w:jc w:val="both"/>
        <w:rPr>
          <w:rFonts w:ascii="Times New Roman" w:eastAsia="Times New Roman" w:hAnsi="Times New Roman" w:cs="Times New Roman"/>
          <w:sz w:val="24"/>
          <w:szCs w:val="24"/>
        </w:rPr>
      </w:pPr>
    </w:p>
    <w:p w14:paraId="01E3DDA3" w14:textId="68CCE51A" w:rsidR="009F3AEA" w:rsidRDefault="00A52B9C">
      <w:pPr>
        <w:spacing w:before="240" w:after="240"/>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Ad 8. Micanje stupića ispred Doma specijalne policije, Trg žrtava fašizma 1, </w:t>
      </w:r>
      <w:r>
        <w:rPr>
          <w:rFonts w:ascii="Times New Roman" w:eastAsia="Times New Roman" w:hAnsi="Times New Roman" w:cs="Times New Roman"/>
          <w:b/>
          <w:i/>
          <w:sz w:val="24"/>
          <w:szCs w:val="24"/>
        </w:rPr>
        <w:t>donošenje zaključka</w:t>
      </w:r>
    </w:p>
    <w:p w14:paraId="118CD2F7" w14:textId="05FA42D3" w:rsidR="009F3AEA" w:rsidRPr="007236B9"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Stupići koji postoje nasred nogostupa ispred Doma specijalne policije ne služe ničemu. Parkirna mjesta ograđena su posebnim lancem iz smjera ulice tako da se nitko osim ovlaštenih ne može parkirati, a ovako postavljeni stupići predstavljaju opasnost pješacima. Vijeće je jednoglasno donijelo </w:t>
      </w:r>
    </w:p>
    <w:p w14:paraId="6285FB6F" w14:textId="77777777" w:rsidR="009F3AEA" w:rsidRDefault="00A52B9C">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ZAKLJUČAK</w:t>
      </w:r>
    </w:p>
    <w:p w14:paraId="42E264E4" w14:textId="02454F3B" w:rsidR="007236B9" w:rsidRPr="007236B9" w:rsidRDefault="00A52B9C" w:rsidP="007236B9">
      <w:pPr>
        <w:spacing w:before="240" w:after="240"/>
        <w:jc w:val="center"/>
        <w:rPr>
          <w:rFonts w:ascii="Times New Roman" w:eastAsia="Times New Roman" w:hAnsi="Times New Roman" w:cs="Times New Roman"/>
          <w:b/>
          <w:bCs/>
          <w:sz w:val="24"/>
          <w:szCs w:val="24"/>
        </w:rPr>
      </w:pPr>
      <w:r w:rsidRPr="007236B9">
        <w:rPr>
          <w:rFonts w:ascii="Times New Roman" w:eastAsia="Times New Roman" w:hAnsi="Times New Roman" w:cs="Times New Roman"/>
          <w:b/>
          <w:bCs/>
          <w:sz w:val="24"/>
          <w:szCs w:val="24"/>
        </w:rPr>
        <w:t>o hitnom micanju stupića ispred Doma specijalne policije</w:t>
      </w:r>
    </w:p>
    <w:p w14:paraId="490BC9E2" w14:textId="4530C64A" w:rsidR="009F3AEA" w:rsidRDefault="007236B9" w:rsidP="00A52B9C">
      <w:pPr>
        <w:pStyle w:val="ListParagraph"/>
        <w:numPr>
          <w:ilvl w:val="0"/>
          <w:numId w:val="6"/>
        </w:numPr>
        <w:spacing w:before="240" w:after="240"/>
        <w:jc w:val="both"/>
        <w:rPr>
          <w:rFonts w:ascii="Times New Roman" w:eastAsia="Times New Roman" w:hAnsi="Times New Roman" w:cs="Times New Roman"/>
          <w:sz w:val="24"/>
          <w:szCs w:val="24"/>
        </w:rPr>
      </w:pPr>
      <w:r w:rsidRPr="00A52B9C">
        <w:rPr>
          <w:rFonts w:ascii="Times New Roman" w:eastAsia="Times New Roman" w:hAnsi="Times New Roman" w:cs="Times New Roman"/>
          <w:sz w:val="24"/>
          <w:szCs w:val="24"/>
        </w:rPr>
        <w:t xml:space="preserve">Vijeće Mjesnog odbora traži hitno micanje stupića ispred Doma specijalne policije na lokaciji Trg žrtava fašizma 1, </w:t>
      </w:r>
      <w:r w:rsidR="00A52B9C" w:rsidRPr="00A52B9C">
        <w:rPr>
          <w:rFonts w:ascii="Times New Roman" w:eastAsia="Times New Roman" w:hAnsi="Times New Roman" w:cs="Times New Roman"/>
          <w:sz w:val="24"/>
          <w:szCs w:val="24"/>
        </w:rPr>
        <w:t>te obavještavanju članova te udruge.</w:t>
      </w:r>
    </w:p>
    <w:p w14:paraId="7B33E4CA" w14:textId="77777777" w:rsidR="00A52B9C" w:rsidRPr="00A52B9C" w:rsidRDefault="00A52B9C" w:rsidP="00A52B9C">
      <w:pPr>
        <w:pStyle w:val="ListParagraph"/>
        <w:spacing w:before="240" w:after="240"/>
        <w:ind w:left="360"/>
        <w:jc w:val="both"/>
        <w:rPr>
          <w:rFonts w:ascii="Times New Roman" w:eastAsia="Times New Roman" w:hAnsi="Times New Roman" w:cs="Times New Roman"/>
          <w:sz w:val="24"/>
          <w:szCs w:val="24"/>
        </w:rPr>
      </w:pPr>
    </w:p>
    <w:p w14:paraId="644CC6E7" w14:textId="2FECACD0" w:rsidR="009F3AEA" w:rsidRPr="00A52B9C" w:rsidRDefault="00A52B9C" w:rsidP="00A52B9C">
      <w:pPr>
        <w:pStyle w:val="ListParagraph"/>
        <w:numPr>
          <w:ilvl w:val="0"/>
          <w:numId w:val="6"/>
        </w:numPr>
        <w:spacing w:before="240" w:after="240"/>
        <w:jc w:val="both"/>
        <w:rPr>
          <w:rFonts w:ascii="Times New Roman" w:eastAsia="Times New Roman" w:hAnsi="Times New Roman" w:cs="Times New Roman"/>
          <w:sz w:val="24"/>
          <w:szCs w:val="24"/>
        </w:rPr>
      </w:pPr>
      <w:r w:rsidRPr="00A52B9C">
        <w:rPr>
          <w:rFonts w:ascii="Times New Roman" w:eastAsia="Times New Roman" w:hAnsi="Times New Roman" w:cs="Times New Roman"/>
          <w:sz w:val="24"/>
          <w:szCs w:val="24"/>
        </w:rPr>
        <w:t>Ovaj zaključak se dostavlja Vijeću Gradske četvrti Donji grad na daljnje postupanje.</w:t>
      </w:r>
    </w:p>
    <w:p w14:paraId="34F6D68E" w14:textId="30598D31" w:rsidR="009F3AEA" w:rsidRPr="007236B9"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Foto dokumentaciju dostavljamo u privitku.</w:t>
      </w:r>
    </w:p>
    <w:p w14:paraId="7C91DF6C" w14:textId="77777777" w:rsidR="009F3AEA" w:rsidRDefault="009F3AEA">
      <w:pPr>
        <w:spacing w:line="240" w:lineRule="auto"/>
        <w:ind w:left="720"/>
        <w:jc w:val="both"/>
        <w:rPr>
          <w:rFonts w:ascii="Times New Roman" w:eastAsia="Times New Roman" w:hAnsi="Times New Roman" w:cs="Times New Roman"/>
          <w:sz w:val="24"/>
          <w:szCs w:val="24"/>
        </w:rPr>
      </w:pPr>
      <w:bookmarkStart w:id="8" w:name="_heading=h.fyfco7yyxk70" w:colFirst="0" w:colLast="0"/>
      <w:bookmarkEnd w:id="8"/>
    </w:p>
    <w:p w14:paraId="03352A46" w14:textId="3452A7F8" w:rsidR="009F3AEA" w:rsidRDefault="00A52B9C">
      <w:pPr>
        <w:spacing w:line="240" w:lineRule="auto"/>
        <w:jc w:val="both"/>
        <w:rPr>
          <w:rFonts w:ascii="Times New Roman" w:eastAsia="Times New Roman" w:hAnsi="Times New Roman" w:cs="Times New Roman"/>
          <w:b/>
          <w:sz w:val="24"/>
          <w:szCs w:val="24"/>
        </w:rPr>
      </w:pPr>
      <w:bookmarkStart w:id="9" w:name="_heading=h.3znysh7" w:colFirst="0" w:colLast="0"/>
      <w:bookmarkEnd w:id="9"/>
      <w:r>
        <w:rPr>
          <w:rFonts w:ascii="Times New Roman" w:eastAsia="Times New Roman" w:hAnsi="Times New Roman" w:cs="Times New Roman"/>
          <w:b/>
          <w:sz w:val="24"/>
          <w:szCs w:val="24"/>
        </w:rPr>
        <w:t xml:space="preserve">Ad 9. </w:t>
      </w:r>
      <w:r w:rsidR="007236B9">
        <w:rPr>
          <w:rFonts w:ascii="Times New Roman" w:eastAsia="Times New Roman" w:hAnsi="Times New Roman" w:cs="Times New Roman"/>
          <w:b/>
          <w:sz w:val="24"/>
          <w:szCs w:val="24"/>
        </w:rPr>
        <w:t>P</w:t>
      </w:r>
      <w:r>
        <w:rPr>
          <w:rFonts w:ascii="Times New Roman" w:eastAsia="Times New Roman" w:hAnsi="Times New Roman" w:cs="Times New Roman"/>
          <w:b/>
          <w:sz w:val="24"/>
          <w:szCs w:val="24"/>
        </w:rPr>
        <w:t>ostavljanje znaka zabrane parkiranja kod zelenog otoka na uglu Đorđićeve ulice i Ulice kneza Mutimira</w:t>
      </w:r>
    </w:p>
    <w:p w14:paraId="29A3729B" w14:textId="10DD0668"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obzirom na učestalo nepropisno parkiranje kojim se blokira pristup zelenom otoku na spomenutom uglu, Vijeće je jednoglasno donijelo </w:t>
      </w:r>
    </w:p>
    <w:p w14:paraId="0A4B825A" w14:textId="77777777" w:rsidR="00A52B9C" w:rsidRDefault="00A52B9C">
      <w:pPr>
        <w:spacing w:before="240" w:after="240"/>
        <w:jc w:val="both"/>
        <w:rPr>
          <w:rFonts w:ascii="Times New Roman" w:eastAsia="Times New Roman" w:hAnsi="Times New Roman" w:cs="Times New Roman"/>
          <w:sz w:val="24"/>
          <w:szCs w:val="24"/>
        </w:rPr>
      </w:pPr>
    </w:p>
    <w:p w14:paraId="3CFD7C79" w14:textId="77777777" w:rsidR="009F3AEA" w:rsidRDefault="00A52B9C">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ZAKLJUČAK</w:t>
      </w:r>
    </w:p>
    <w:p w14:paraId="1CF50D60" w14:textId="2D354FB7" w:rsidR="007236B9" w:rsidRPr="007236B9" w:rsidRDefault="00A52B9C" w:rsidP="007236B9">
      <w:pPr>
        <w:spacing w:before="240" w:after="240"/>
        <w:jc w:val="center"/>
        <w:rPr>
          <w:rFonts w:ascii="Times New Roman" w:eastAsia="Times New Roman" w:hAnsi="Times New Roman" w:cs="Times New Roman"/>
          <w:b/>
          <w:bCs/>
          <w:sz w:val="24"/>
          <w:szCs w:val="24"/>
        </w:rPr>
      </w:pPr>
      <w:r w:rsidRPr="007236B9">
        <w:rPr>
          <w:rFonts w:ascii="Times New Roman" w:eastAsia="Times New Roman" w:hAnsi="Times New Roman" w:cs="Times New Roman"/>
          <w:b/>
          <w:bCs/>
          <w:sz w:val="24"/>
          <w:szCs w:val="24"/>
        </w:rPr>
        <w:t>o hitnom postavljanju znaka zabrane parkiranja</w:t>
      </w:r>
      <w:r w:rsidR="007236B9" w:rsidRPr="007236B9">
        <w:rPr>
          <w:rFonts w:ascii="Times New Roman" w:eastAsia="Times New Roman" w:hAnsi="Times New Roman" w:cs="Times New Roman"/>
          <w:sz w:val="24"/>
          <w:szCs w:val="24"/>
        </w:rPr>
        <w:t xml:space="preserve"> </w:t>
      </w:r>
      <w:r w:rsidR="007236B9" w:rsidRPr="007236B9">
        <w:rPr>
          <w:rFonts w:ascii="Times New Roman" w:eastAsia="Times New Roman" w:hAnsi="Times New Roman" w:cs="Times New Roman"/>
          <w:b/>
          <w:bCs/>
          <w:sz w:val="24"/>
          <w:szCs w:val="24"/>
        </w:rPr>
        <w:t>kraj zelenog otoka na uglu Đorđićeve ulice i Ulice kneza Mutimira</w:t>
      </w:r>
    </w:p>
    <w:p w14:paraId="639CF19E" w14:textId="37921B5A" w:rsidR="009F3AEA" w:rsidRDefault="007236B9" w:rsidP="00A52B9C">
      <w:pPr>
        <w:pStyle w:val="ListParagraph"/>
        <w:numPr>
          <w:ilvl w:val="0"/>
          <w:numId w:val="7"/>
        </w:numPr>
        <w:spacing w:before="240" w:after="240"/>
        <w:jc w:val="both"/>
        <w:rPr>
          <w:rFonts w:ascii="Times New Roman" w:eastAsia="Times New Roman" w:hAnsi="Times New Roman" w:cs="Times New Roman"/>
          <w:sz w:val="24"/>
          <w:szCs w:val="24"/>
        </w:rPr>
      </w:pPr>
      <w:r w:rsidRPr="00A52B9C">
        <w:rPr>
          <w:rFonts w:ascii="Times New Roman" w:eastAsia="Times New Roman" w:hAnsi="Times New Roman" w:cs="Times New Roman"/>
          <w:sz w:val="24"/>
          <w:szCs w:val="24"/>
        </w:rPr>
        <w:t xml:space="preserve">Vijeće Mjesnog odbora traži hitno postavljanje znaka zabrane parkiranja </w:t>
      </w:r>
      <w:r w:rsidR="00A52B9C" w:rsidRPr="00A52B9C">
        <w:rPr>
          <w:rFonts w:ascii="Times New Roman" w:eastAsia="Times New Roman" w:hAnsi="Times New Roman" w:cs="Times New Roman"/>
          <w:sz w:val="24"/>
          <w:szCs w:val="24"/>
        </w:rPr>
        <w:t xml:space="preserve">na vidljivo mjesto </w:t>
      </w:r>
      <w:bookmarkStart w:id="10" w:name="_Hlk132884597"/>
      <w:r w:rsidR="00A52B9C" w:rsidRPr="00A52B9C">
        <w:rPr>
          <w:rFonts w:ascii="Times New Roman" w:eastAsia="Times New Roman" w:hAnsi="Times New Roman" w:cs="Times New Roman"/>
          <w:sz w:val="24"/>
          <w:szCs w:val="24"/>
        </w:rPr>
        <w:t>kraj zelenog otoka na uglu Đorđićeve ulice i Ulice kneza Mutimira</w:t>
      </w:r>
      <w:bookmarkEnd w:id="10"/>
      <w:r w:rsidR="00A52B9C" w:rsidRPr="00A52B9C">
        <w:rPr>
          <w:rFonts w:ascii="Times New Roman" w:eastAsia="Times New Roman" w:hAnsi="Times New Roman" w:cs="Times New Roman"/>
          <w:sz w:val="24"/>
          <w:szCs w:val="24"/>
        </w:rPr>
        <w:t>.</w:t>
      </w:r>
    </w:p>
    <w:p w14:paraId="7B301293" w14:textId="77777777" w:rsidR="00A52B9C" w:rsidRPr="00A52B9C" w:rsidRDefault="00A52B9C" w:rsidP="00A52B9C">
      <w:pPr>
        <w:pStyle w:val="ListParagraph"/>
        <w:spacing w:before="240" w:after="240"/>
        <w:ind w:left="360"/>
        <w:jc w:val="both"/>
        <w:rPr>
          <w:rFonts w:ascii="Times New Roman" w:eastAsia="Times New Roman" w:hAnsi="Times New Roman" w:cs="Times New Roman"/>
          <w:sz w:val="24"/>
          <w:szCs w:val="24"/>
        </w:rPr>
      </w:pPr>
    </w:p>
    <w:p w14:paraId="16EE1511" w14:textId="336064B4" w:rsidR="009F3AEA" w:rsidRPr="00A52B9C" w:rsidRDefault="00A52B9C" w:rsidP="00A52B9C">
      <w:pPr>
        <w:pStyle w:val="ListParagraph"/>
        <w:numPr>
          <w:ilvl w:val="0"/>
          <w:numId w:val="7"/>
        </w:numPr>
        <w:spacing w:before="240" w:after="240"/>
        <w:jc w:val="both"/>
        <w:rPr>
          <w:rFonts w:ascii="Times New Roman" w:eastAsia="Times New Roman" w:hAnsi="Times New Roman" w:cs="Times New Roman"/>
          <w:sz w:val="24"/>
          <w:szCs w:val="24"/>
        </w:rPr>
      </w:pPr>
      <w:r w:rsidRPr="00A52B9C">
        <w:rPr>
          <w:rFonts w:ascii="Times New Roman" w:eastAsia="Times New Roman" w:hAnsi="Times New Roman" w:cs="Times New Roman"/>
          <w:sz w:val="24"/>
          <w:szCs w:val="24"/>
        </w:rPr>
        <w:t>Ovaj zaključak se dostavlja Vijeću Gradske četvrti Donji grad na daljnje postupanje.</w:t>
      </w:r>
    </w:p>
    <w:p w14:paraId="46AAD869" w14:textId="77777777" w:rsidR="009F3AEA" w:rsidRDefault="00A52B9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Foto dokumentaciju dostavljamo u privitku.</w:t>
      </w:r>
    </w:p>
    <w:p w14:paraId="233D0691" w14:textId="401A6DE6" w:rsidR="009F3AEA" w:rsidRDefault="009F3AEA">
      <w:pPr>
        <w:spacing w:before="240" w:after="240"/>
        <w:jc w:val="both"/>
        <w:rPr>
          <w:rFonts w:ascii="Times New Roman" w:eastAsia="Times New Roman" w:hAnsi="Times New Roman" w:cs="Times New Roman"/>
          <w:sz w:val="24"/>
          <w:szCs w:val="24"/>
        </w:rPr>
      </w:pPr>
    </w:p>
    <w:p w14:paraId="50F6F51C" w14:textId="1FC455C8" w:rsidR="00133001" w:rsidRDefault="00133001">
      <w:pPr>
        <w:spacing w:before="240" w:after="24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 Razno</w:t>
      </w:r>
    </w:p>
    <w:p w14:paraId="4A1BA5EF" w14:textId="3D8671B6" w:rsidR="00133001" w:rsidRPr="00133001" w:rsidRDefault="00133001">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Nije bilo rasprave.</w:t>
      </w:r>
    </w:p>
    <w:p w14:paraId="7731BB05" w14:textId="77777777" w:rsidR="009F3AEA" w:rsidRDefault="009F3AEA">
      <w:pPr>
        <w:spacing w:before="240" w:after="240"/>
        <w:jc w:val="both"/>
        <w:rPr>
          <w:rFonts w:ascii="Times New Roman" w:eastAsia="Times New Roman" w:hAnsi="Times New Roman" w:cs="Times New Roman"/>
          <w:sz w:val="24"/>
          <w:szCs w:val="24"/>
        </w:rPr>
      </w:pPr>
    </w:p>
    <w:p w14:paraId="49E0A08F" w14:textId="77777777" w:rsidR="009F3AEA" w:rsidRDefault="00A52B9C">
      <w:pPr>
        <w:rPr>
          <w:rFonts w:ascii="Times New Roman" w:eastAsia="Times New Roman" w:hAnsi="Times New Roman" w:cs="Times New Roman"/>
          <w:sz w:val="24"/>
          <w:szCs w:val="24"/>
        </w:rPr>
      </w:pPr>
      <w:r>
        <w:rPr>
          <w:rFonts w:ascii="Times New Roman" w:eastAsia="Times New Roman" w:hAnsi="Times New Roman" w:cs="Times New Roman"/>
          <w:sz w:val="24"/>
          <w:szCs w:val="24"/>
        </w:rPr>
        <w:t>Sjednica je završila u 18:00 sati.</w:t>
      </w:r>
    </w:p>
    <w:p w14:paraId="497C5D99" w14:textId="77777777" w:rsidR="009F3AEA" w:rsidRDefault="00A52B9C">
      <w:pPr>
        <w:rPr>
          <w:rFonts w:ascii="Times New Roman" w:eastAsia="Times New Roman" w:hAnsi="Times New Roman" w:cs="Times New Roman"/>
          <w:sz w:val="24"/>
          <w:szCs w:val="24"/>
        </w:rPr>
      </w:pPr>
      <w:r>
        <w:rPr>
          <w:rFonts w:ascii="Times New Roman" w:eastAsia="Times New Roman" w:hAnsi="Times New Roman" w:cs="Times New Roman"/>
          <w:sz w:val="24"/>
          <w:szCs w:val="24"/>
        </w:rPr>
        <w:t>Zapisnik vodila Anja Pletikosa</w:t>
      </w:r>
    </w:p>
    <w:p w14:paraId="431F93A5" w14:textId="77777777" w:rsidR="009F3AEA" w:rsidRDefault="009F3AEA">
      <w:pPr>
        <w:rPr>
          <w:rFonts w:ascii="Times New Roman" w:eastAsia="Times New Roman" w:hAnsi="Times New Roman" w:cs="Times New Roman"/>
          <w:sz w:val="24"/>
          <w:szCs w:val="24"/>
        </w:rPr>
      </w:pPr>
    </w:p>
    <w:p w14:paraId="2D6FEB59" w14:textId="6EFD1106" w:rsidR="009F3AEA" w:rsidRDefault="00A52B9C">
      <w:pPr>
        <w:rPr>
          <w:rFonts w:ascii="Times New Roman" w:eastAsia="Times New Roman" w:hAnsi="Times New Roman" w:cs="Times New Roman"/>
          <w:sz w:val="24"/>
          <w:szCs w:val="24"/>
        </w:rPr>
      </w:pPr>
      <w:r>
        <w:rPr>
          <w:rFonts w:ascii="Times New Roman" w:eastAsia="Times New Roman" w:hAnsi="Times New Roman" w:cs="Times New Roman"/>
          <w:sz w:val="24"/>
          <w:szCs w:val="24"/>
        </w:rPr>
        <w:t>KLASA: 024-08/23-003/</w:t>
      </w:r>
      <w:r w:rsidR="00133001">
        <w:rPr>
          <w:rFonts w:ascii="Times New Roman" w:eastAsia="Times New Roman" w:hAnsi="Times New Roman" w:cs="Times New Roman"/>
          <w:sz w:val="24"/>
          <w:szCs w:val="24"/>
        </w:rPr>
        <w:t>660</w:t>
      </w:r>
    </w:p>
    <w:p w14:paraId="39A476F8" w14:textId="77777777" w:rsidR="009F3AEA" w:rsidRDefault="00A52B9C">
      <w:pPr>
        <w:rPr>
          <w:rFonts w:ascii="Times New Roman" w:eastAsia="Times New Roman" w:hAnsi="Times New Roman" w:cs="Times New Roman"/>
          <w:sz w:val="24"/>
          <w:szCs w:val="24"/>
        </w:rPr>
      </w:pPr>
      <w:r>
        <w:rPr>
          <w:rFonts w:ascii="Times New Roman" w:eastAsia="Times New Roman" w:hAnsi="Times New Roman" w:cs="Times New Roman"/>
          <w:sz w:val="24"/>
          <w:szCs w:val="24"/>
        </w:rPr>
        <w:t>URBROJ: 251-13-11-1/003-23-2</w:t>
      </w:r>
    </w:p>
    <w:p w14:paraId="7574E66D" w14:textId="7B101910" w:rsidR="009F3AEA" w:rsidRDefault="00A52B9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Zagreb,  </w:t>
      </w:r>
      <w:r w:rsidR="00133001">
        <w:rPr>
          <w:rFonts w:ascii="Times New Roman" w:eastAsia="Times New Roman" w:hAnsi="Times New Roman" w:cs="Times New Roman"/>
          <w:sz w:val="24"/>
          <w:szCs w:val="24"/>
        </w:rPr>
        <w:t>30. ožujka</w:t>
      </w:r>
      <w:r>
        <w:rPr>
          <w:rFonts w:ascii="Times New Roman" w:eastAsia="Times New Roman" w:hAnsi="Times New Roman" w:cs="Times New Roman"/>
          <w:sz w:val="24"/>
          <w:szCs w:val="24"/>
        </w:rPr>
        <w:t xml:space="preserve"> 2023.</w:t>
      </w:r>
    </w:p>
    <w:p w14:paraId="20B8D7BD" w14:textId="77777777" w:rsidR="009F3AEA" w:rsidRDefault="009F3AEA">
      <w:pPr>
        <w:rPr>
          <w:rFonts w:ascii="Times New Roman" w:eastAsia="Times New Roman" w:hAnsi="Times New Roman" w:cs="Times New Roman"/>
          <w:sz w:val="24"/>
          <w:szCs w:val="24"/>
        </w:rPr>
      </w:pPr>
    </w:p>
    <w:p w14:paraId="6E39361D" w14:textId="77777777" w:rsidR="009F3AEA" w:rsidRDefault="009F3AEA">
      <w:pPr>
        <w:rPr>
          <w:rFonts w:ascii="Times New Roman" w:eastAsia="Times New Roman" w:hAnsi="Times New Roman" w:cs="Times New Roman"/>
          <w:sz w:val="24"/>
          <w:szCs w:val="24"/>
        </w:rPr>
      </w:pPr>
    </w:p>
    <w:p w14:paraId="23DDE92D" w14:textId="77777777" w:rsidR="009F3AEA" w:rsidRDefault="009F3AEA">
      <w:pPr>
        <w:rPr>
          <w:rFonts w:ascii="Times New Roman" w:eastAsia="Times New Roman" w:hAnsi="Times New Roman" w:cs="Times New Roman"/>
          <w:sz w:val="24"/>
          <w:szCs w:val="24"/>
        </w:rPr>
      </w:pPr>
    </w:p>
    <w:p w14:paraId="134739E5" w14:textId="77777777" w:rsidR="009F3AEA" w:rsidRDefault="009F3AEA">
      <w:pPr>
        <w:rPr>
          <w:rFonts w:ascii="Times New Roman" w:eastAsia="Times New Roman" w:hAnsi="Times New Roman" w:cs="Times New Roman"/>
          <w:sz w:val="24"/>
          <w:szCs w:val="24"/>
        </w:rPr>
      </w:pPr>
    </w:p>
    <w:p w14:paraId="2E84B1CD" w14:textId="77777777" w:rsidR="009F3AEA" w:rsidRDefault="00A52B9C">
      <w:pPr>
        <w:ind w:left="4248"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Vijeća Mjesnog odbora</w:t>
      </w:r>
    </w:p>
    <w:p w14:paraId="33A5D460" w14:textId="77777777" w:rsidR="009F3AEA" w:rsidRDefault="00A52B9C">
      <w:pPr>
        <w:ind w:left="49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„Hrvatski narodni vladari“</w:t>
      </w:r>
    </w:p>
    <w:p w14:paraId="7BD1249D" w14:textId="77777777" w:rsidR="009F3AEA" w:rsidRDefault="009F3AEA">
      <w:pPr>
        <w:rPr>
          <w:rFonts w:ascii="Times New Roman" w:eastAsia="Times New Roman" w:hAnsi="Times New Roman" w:cs="Times New Roman"/>
          <w:sz w:val="24"/>
          <w:szCs w:val="24"/>
        </w:rPr>
      </w:pPr>
    </w:p>
    <w:p w14:paraId="21768EA7" w14:textId="66172350" w:rsidR="009F3AEA" w:rsidRDefault="00A52B9C">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Anja Pletikosa</w:t>
      </w:r>
      <w:r w:rsidR="008F1971">
        <w:rPr>
          <w:rFonts w:ascii="Times New Roman" w:eastAsia="Times New Roman" w:hAnsi="Times New Roman" w:cs="Times New Roman"/>
          <w:sz w:val="24"/>
          <w:szCs w:val="24"/>
        </w:rPr>
        <w:t>, v.r.</w:t>
      </w:r>
      <w:bookmarkStart w:id="11" w:name="_GoBack"/>
      <w:bookmarkEnd w:id="11"/>
    </w:p>
    <w:p w14:paraId="5C4B5AA2" w14:textId="77777777" w:rsidR="009F3AEA" w:rsidRDefault="009F3AEA"/>
    <w:p w14:paraId="51E0DB02" w14:textId="77777777" w:rsidR="009F3AEA" w:rsidRDefault="009F3AEA"/>
    <w:p w14:paraId="3A3EB39E" w14:textId="77777777" w:rsidR="009F3AEA" w:rsidRDefault="009F3AEA"/>
    <w:p w14:paraId="127D90B7" w14:textId="77777777" w:rsidR="009F3AEA" w:rsidRDefault="009F3AEA"/>
    <w:p w14:paraId="76256790" w14:textId="77777777" w:rsidR="009F3AEA" w:rsidRDefault="009F3AEA"/>
    <w:p w14:paraId="1402EA2A" w14:textId="77777777" w:rsidR="009F3AEA" w:rsidRDefault="009F3AEA"/>
    <w:p w14:paraId="4EDE01A2" w14:textId="77777777" w:rsidR="009F3AEA" w:rsidRDefault="009F3AEA"/>
    <w:p w14:paraId="35F17C6B" w14:textId="77777777" w:rsidR="009F3AEA" w:rsidRDefault="009F3AEA"/>
    <w:p w14:paraId="0C3EE32D" w14:textId="77777777" w:rsidR="009F3AEA" w:rsidRDefault="009F3AEA"/>
    <w:p w14:paraId="639DE1B4" w14:textId="77777777" w:rsidR="009F3AEA" w:rsidRDefault="009F3AEA"/>
    <w:p w14:paraId="3AE8A49C" w14:textId="77777777" w:rsidR="009F3AEA" w:rsidRDefault="009F3AEA"/>
    <w:p w14:paraId="09FFD5EF" w14:textId="77777777" w:rsidR="009F3AEA" w:rsidRDefault="009F3AEA"/>
    <w:p w14:paraId="36BEDC76" w14:textId="329360D7" w:rsidR="009F3AEA" w:rsidRDefault="009F3AEA"/>
    <w:p w14:paraId="5E1364C6" w14:textId="77777777" w:rsidR="005008E7" w:rsidRPr="005008E7" w:rsidRDefault="005008E7" w:rsidP="005008E7">
      <w:pPr>
        <w:spacing w:line="240" w:lineRule="auto"/>
        <w:rPr>
          <w:rFonts w:ascii="Calibri" w:eastAsia="Times New Roman" w:hAnsi="Calibri" w:cs="Calibri"/>
          <w:color w:val="23FF06"/>
          <w:sz w:val="16"/>
          <w:szCs w:val="16"/>
        </w:rPr>
      </w:pPr>
      <w:r w:rsidRPr="005008E7">
        <w:rPr>
          <w:rFonts w:ascii="Calibri" w:eastAsia="Times New Roman" w:hAnsi="Calibri" w:cs="Calibri"/>
          <w:color w:val="23FF06"/>
          <w:sz w:val="16"/>
          <w:szCs w:val="16"/>
        </w:rPr>
        <w:lastRenderedPageBreak/>
        <w:t>Izvješće o glasanju na sjednicama</w:t>
      </w:r>
    </w:p>
    <w:p w14:paraId="5AF6D4CC" w14:textId="77777777" w:rsidR="005008E7" w:rsidRDefault="005008E7"/>
    <w:tbl>
      <w:tblPr>
        <w:tblW w:w="9900" w:type="dxa"/>
        <w:tblLook w:val="04A0" w:firstRow="1" w:lastRow="0" w:firstColumn="1" w:lastColumn="0" w:noHBand="0" w:noVBand="1"/>
      </w:tblPr>
      <w:tblGrid>
        <w:gridCol w:w="1360"/>
        <w:gridCol w:w="664"/>
        <w:gridCol w:w="657"/>
        <w:gridCol w:w="753"/>
        <w:gridCol w:w="1020"/>
        <w:gridCol w:w="760"/>
        <w:gridCol w:w="864"/>
        <w:gridCol w:w="940"/>
        <w:gridCol w:w="680"/>
        <w:gridCol w:w="943"/>
        <w:gridCol w:w="660"/>
        <w:gridCol w:w="860"/>
      </w:tblGrid>
      <w:tr w:rsidR="005008E7" w:rsidRPr="005008E7" w14:paraId="36BC1BBE" w14:textId="77777777" w:rsidTr="005008E7">
        <w:trPr>
          <w:trHeight w:val="444"/>
        </w:trPr>
        <w:tc>
          <w:tcPr>
            <w:tcW w:w="1360" w:type="dxa"/>
            <w:tcBorders>
              <w:top w:val="single" w:sz="4" w:space="0" w:color="000000"/>
              <w:left w:val="single" w:sz="4" w:space="0" w:color="000000"/>
              <w:bottom w:val="single" w:sz="4" w:space="0" w:color="000000"/>
              <w:right w:val="single" w:sz="4" w:space="0" w:color="000000"/>
            </w:tcBorders>
            <w:shd w:val="clear" w:color="D1DBF0" w:fill="D1DBF0"/>
            <w:noWrap/>
            <w:vAlign w:val="bottom"/>
            <w:hideMark/>
          </w:tcPr>
          <w:p w14:paraId="0BAE25EF" w14:textId="77777777" w:rsidR="005008E7" w:rsidRPr="005008E7" w:rsidRDefault="005008E7" w:rsidP="005008E7">
            <w:pPr>
              <w:spacing w:line="240" w:lineRule="auto"/>
              <w:jc w:val="center"/>
              <w:rPr>
                <w:rFonts w:ascii="Calibri" w:eastAsia="Times New Roman" w:hAnsi="Calibri" w:cs="Calibri"/>
                <w:color w:val="000000"/>
                <w:sz w:val="16"/>
                <w:szCs w:val="16"/>
              </w:rPr>
            </w:pPr>
            <w:r w:rsidRPr="005008E7">
              <w:rPr>
                <w:rFonts w:ascii="Calibri" w:eastAsia="Times New Roman" w:hAnsi="Calibri" w:cs="Calibri"/>
                <w:color w:val="000000"/>
                <w:sz w:val="16"/>
                <w:szCs w:val="16"/>
              </w:rPr>
              <w:t>Članovi Vijeća</w:t>
            </w:r>
          </w:p>
        </w:tc>
        <w:tc>
          <w:tcPr>
            <w:tcW w:w="640" w:type="dxa"/>
            <w:tcBorders>
              <w:top w:val="single" w:sz="4" w:space="0" w:color="000000"/>
              <w:left w:val="nil"/>
              <w:bottom w:val="single" w:sz="4" w:space="0" w:color="000000"/>
              <w:right w:val="single" w:sz="4" w:space="0" w:color="000000"/>
            </w:tcBorders>
            <w:shd w:val="clear" w:color="D1DBF0" w:fill="D1DBF0"/>
            <w:noWrap/>
            <w:vAlign w:val="bottom"/>
            <w:hideMark/>
          </w:tcPr>
          <w:p w14:paraId="32F202CA" w14:textId="77777777" w:rsidR="005008E7" w:rsidRPr="005008E7" w:rsidRDefault="005008E7" w:rsidP="005008E7">
            <w:pPr>
              <w:spacing w:line="240" w:lineRule="auto"/>
              <w:jc w:val="center"/>
              <w:rPr>
                <w:rFonts w:ascii="Calibri" w:eastAsia="Times New Roman" w:hAnsi="Calibri" w:cs="Calibri"/>
                <w:color w:val="000000"/>
                <w:sz w:val="16"/>
                <w:szCs w:val="16"/>
              </w:rPr>
            </w:pPr>
            <w:r w:rsidRPr="005008E7">
              <w:rPr>
                <w:rFonts w:ascii="Calibri" w:eastAsia="Times New Roman" w:hAnsi="Calibri" w:cs="Calibri"/>
                <w:color w:val="000000"/>
                <w:sz w:val="16"/>
                <w:szCs w:val="16"/>
              </w:rPr>
              <w:t>zapisn.</w:t>
            </w:r>
          </w:p>
        </w:tc>
        <w:tc>
          <w:tcPr>
            <w:tcW w:w="560" w:type="dxa"/>
            <w:tcBorders>
              <w:top w:val="single" w:sz="4" w:space="0" w:color="000000"/>
              <w:left w:val="nil"/>
              <w:bottom w:val="single" w:sz="4" w:space="0" w:color="000000"/>
              <w:right w:val="single" w:sz="4" w:space="0" w:color="000000"/>
            </w:tcBorders>
            <w:shd w:val="clear" w:color="D1DBF0" w:fill="D1DBF0"/>
            <w:noWrap/>
            <w:vAlign w:val="bottom"/>
            <w:hideMark/>
          </w:tcPr>
          <w:p w14:paraId="0961C55F" w14:textId="77777777" w:rsidR="005008E7" w:rsidRPr="005008E7" w:rsidRDefault="005008E7" w:rsidP="005008E7">
            <w:pPr>
              <w:spacing w:line="240" w:lineRule="auto"/>
              <w:jc w:val="center"/>
              <w:rPr>
                <w:rFonts w:ascii="Calibri" w:eastAsia="Times New Roman" w:hAnsi="Calibri" w:cs="Calibri"/>
                <w:color w:val="000000"/>
                <w:sz w:val="16"/>
                <w:szCs w:val="16"/>
              </w:rPr>
            </w:pPr>
            <w:r w:rsidRPr="005008E7">
              <w:rPr>
                <w:rFonts w:ascii="Calibri" w:eastAsia="Times New Roman" w:hAnsi="Calibri" w:cs="Calibri"/>
                <w:color w:val="000000"/>
                <w:sz w:val="16"/>
                <w:szCs w:val="16"/>
              </w:rPr>
              <w:t>dnevni</w:t>
            </w:r>
          </w:p>
        </w:tc>
        <w:tc>
          <w:tcPr>
            <w:tcW w:w="740" w:type="dxa"/>
            <w:tcBorders>
              <w:top w:val="single" w:sz="4" w:space="0" w:color="000000"/>
              <w:left w:val="nil"/>
              <w:bottom w:val="single" w:sz="4" w:space="0" w:color="000000"/>
              <w:right w:val="single" w:sz="4" w:space="0" w:color="000000"/>
            </w:tcBorders>
            <w:shd w:val="clear" w:color="D1DBF0" w:fill="D1DBF0"/>
            <w:noWrap/>
            <w:vAlign w:val="bottom"/>
            <w:hideMark/>
          </w:tcPr>
          <w:p w14:paraId="06DD73A7" w14:textId="77777777" w:rsidR="005008E7" w:rsidRPr="005008E7" w:rsidRDefault="005008E7" w:rsidP="005008E7">
            <w:pPr>
              <w:spacing w:line="240" w:lineRule="auto"/>
              <w:jc w:val="center"/>
              <w:rPr>
                <w:rFonts w:ascii="Calibri" w:eastAsia="Times New Roman" w:hAnsi="Calibri" w:cs="Calibri"/>
                <w:color w:val="000000"/>
                <w:sz w:val="16"/>
                <w:szCs w:val="16"/>
              </w:rPr>
            </w:pPr>
            <w:r w:rsidRPr="005008E7">
              <w:rPr>
                <w:rFonts w:ascii="Calibri" w:eastAsia="Times New Roman" w:hAnsi="Calibri" w:cs="Calibri"/>
                <w:color w:val="000000"/>
                <w:sz w:val="16"/>
                <w:szCs w:val="16"/>
              </w:rPr>
              <w:t>izviješće</w:t>
            </w:r>
          </w:p>
        </w:tc>
        <w:tc>
          <w:tcPr>
            <w:tcW w:w="1020" w:type="dxa"/>
            <w:tcBorders>
              <w:top w:val="single" w:sz="4" w:space="0" w:color="000000"/>
              <w:left w:val="nil"/>
              <w:bottom w:val="single" w:sz="4" w:space="0" w:color="000000"/>
              <w:right w:val="single" w:sz="4" w:space="0" w:color="000000"/>
            </w:tcBorders>
            <w:shd w:val="clear" w:color="D1DBF0" w:fill="D1DBF0"/>
            <w:noWrap/>
            <w:vAlign w:val="bottom"/>
            <w:hideMark/>
          </w:tcPr>
          <w:p w14:paraId="78AA9299" w14:textId="77777777" w:rsidR="005008E7" w:rsidRPr="005008E7" w:rsidRDefault="005008E7" w:rsidP="005008E7">
            <w:pPr>
              <w:spacing w:line="240" w:lineRule="auto"/>
              <w:jc w:val="center"/>
              <w:rPr>
                <w:rFonts w:ascii="Calibri" w:eastAsia="Times New Roman" w:hAnsi="Calibri" w:cs="Calibri"/>
                <w:color w:val="000000"/>
                <w:sz w:val="16"/>
                <w:szCs w:val="16"/>
              </w:rPr>
            </w:pPr>
            <w:r w:rsidRPr="005008E7">
              <w:rPr>
                <w:rFonts w:ascii="Calibri" w:eastAsia="Times New Roman" w:hAnsi="Calibri" w:cs="Calibri"/>
                <w:color w:val="000000"/>
                <w:sz w:val="16"/>
                <w:szCs w:val="16"/>
              </w:rPr>
              <w:t>program rada</w:t>
            </w:r>
          </w:p>
        </w:tc>
        <w:tc>
          <w:tcPr>
            <w:tcW w:w="760" w:type="dxa"/>
            <w:tcBorders>
              <w:top w:val="single" w:sz="4" w:space="0" w:color="000000"/>
              <w:left w:val="nil"/>
              <w:bottom w:val="single" w:sz="4" w:space="0" w:color="000000"/>
              <w:right w:val="single" w:sz="4" w:space="0" w:color="000000"/>
            </w:tcBorders>
            <w:shd w:val="clear" w:color="D1DBF0" w:fill="D1DBF0"/>
            <w:noWrap/>
            <w:vAlign w:val="bottom"/>
            <w:hideMark/>
          </w:tcPr>
          <w:p w14:paraId="42C6FBFB" w14:textId="77777777" w:rsidR="005008E7" w:rsidRPr="005008E7" w:rsidRDefault="005008E7" w:rsidP="005008E7">
            <w:pPr>
              <w:spacing w:line="240" w:lineRule="auto"/>
              <w:jc w:val="center"/>
              <w:rPr>
                <w:rFonts w:ascii="Calibri" w:eastAsia="Times New Roman" w:hAnsi="Calibri" w:cs="Calibri"/>
                <w:color w:val="000000"/>
                <w:sz w:val="16"/>
                <w:szCs w:val="16"/>
              </w:rPr>
            </w:pPr>
            <w:r w:rsidRPr="005008E7">
              <w:rPr>
                <w:rFonts w:ascii="Calibri" w:eastAsia="Times New Roman" w:hAnsi="Calibri" w:cs="Calibri"/>
                <w:color w:val="000000"/>
                <w:sz w:val="16"/>
                <w:szCs w:val="16"/>
              </w:rPr>
              <w:t>ONRP</w:t>
            </w:r>
          </w:p>
        </w:tc>
        <w:tc>
          <w:tcPr>
            <w:tcW w:w="820" w:type="dxa"/>
            <w:tcBorders>
              <w:top w:val="single" w:sz="4" w:space="0" w:color="000000"/>
              <w:left w:val="nil"/>
              <w:bottom w:val="single" w:sz="4" w:space="0" w:color="000000"/>
              <w:right w:val="single" w:sz="4" w:space="0" w:color="000000"/>
            </w:tcBorders>
            <w:shd w:val="clear" w:color="D1DBF0" w:fill="D1DBF0"/>
            <w:vAlign w:val="bottom"/>
            <w:hideMark/>
          </w:tcPr>
          <w:p w14:paraId="66BDA486" w14:textId="77777777" w:rsidR="005008E7" w:rsidRPr="005008E7" w:rsidRDefault="005008E7" w:rsidP="005008E7">
            <w:pPr>
              <w:spacing w:line="240" w:lineRule="auto"/>
              <w:jc w:val="center"/>
              <w:rPr>
                <w:rFonts w:ascii="Calibri" w:eastAsia="Times New Roman" w:hAnsi="Calibri" w:cs="Calibri"/>
                <w:color w:val="000000"/>
                <w:sz w:val="16"/>
                <w:szCs w:val="16"/>
              </w:rPr>
            </w:pPr>
            <w:r w:rsidRPr="005008E7">
              <w:rPr>
                <w:rFonts w:ascii="Calibri" w:eastAsia="Times New Roman" w:hAnsi="Calibri" w:cs="Calibri"/>
                <w:color w:val="000000"/>
                <w:sz w:val="16"/>
                <w:szCs w:val="16"/>
              </w:rPr>
              <w:t>korištenje</w:t>
            </w:r>
          </w:p>
        </w:tc>
        <w:tc>
          <w:tcPr>
            <w:tcW w:w="940" w:type="dxa"/>
            <w:tcBorders>
              <w:top w:val="single" w:sz="4" w:space="0" w:color="000000"/>
              <w:left w:val="nil"/>
              <w:bottom w:val="single" w:sz="4" w:space="0" w:color="000000"/>
              <w:right w:val="single" w:sz="4" w:space="0" w:color="000000"/>
            </w:tcBorders>
            <w:shd w:val="clear" w:color="D1DBF0" w:fill="D1DBF0"/>
            <w:vAlign w:val="bottom"/>
            <w:hideMark/>
          </w:tcPr>
          <w:p w14:paraId="145D8871" w14:textId="77777777" w:rsidR="005008E7" w:rsidRPr="005008E7" w:rsidRDefault="005008E7" w:rsidP="005008E7">
            <w:pPr>
              <w:spacing w:line="240" w:lineRule="auto"/>
              <w:jc w:val="center"/>
              <w:rPr>
                <w:rFonts w:ascii="Calibri" w:eastAsia="Times New Roman" w:hAnsi="Calibri" w:cs="Calibri"/>
                <w:color w:val="000000"/>
                <w:sz w:val="16"/>
                <w:szCs w:val="16"/>
              </w:rPr>
            </w:pPr>
            <w:r w:rsidRPr="005008E7">
              <w:rPr>
                <w:rFonts w:ascii="Calibri" w:eastAsia="Times New Roman" w:hAnsi="Calibri" w:cs="Calibri"/>
                <w:color w:val="000000"/>
                <w:sz w:val="16"/>
                <w:szCs w:val="16"/>
              </w:rPr>
              <w:t>korištenje-domov. Pokret</w:t>
            </w:r>
          </w:p>
        </w:tc>
        <w:tc>
          <w:tcPr>
            <w:tcW w:w="680" w:type="dxa"/>
            <w:tcBorders>
              <w:top w:val="single" w:sz="4" w:space="0" w:color="000000"/>
              <w:left w:val="nil"/>
              <w:bottom w:val="single" w:sz="4" w:space="0" w:color="000000"/>
              <w:right w:val="single" w:sz="4" w:space="0" w:color="000000"/>
            </w:tcBorders>
            <w:shd w:val="clear" w:color="D1DBF0" w:fill="D1DBF0"/>
            <w:vAlign w:val="bottom"/>
            <w:hideMark/>
          </w:tcPr>
          <w:p w14:paraId="63480FC5" w14:textId="77777777" w:rsidR="005008E7" w:rsidRPr="005008E7" w:rsidRDefault="005008E7" w:rsidP="005008E7">
            <w:pPr>
              <w:spacing w:line="240" w:lineRule="auto"/>
              <w:jc w:val="center"/>
              <w:rPr>
                <w:rFonts w:ascii="Calibri" w:eastAsia="Times New Roman" w:hAnsi="Calibri" w:cs="Calibri"/>
                <w:color w:val="000000"/>
                <w:sz w:val="16"/>
                <w:szCs w:val="16"/>
              </w:rPr>
            </w:pPr>
            <w:r w:rsidRPr="005008E7">
              <w:rPr>
                <w:rFonts w:ascii="Calibri" w:eastAsia="Times New Roman" w:hAnsi="Calibri" w:cs="Calibri"/>
                <w:color w:val="000000"/>
                <w:sz w:val="16"/>
                <w:szCs w:val="16"/>
              </w:rPr>
              <w:t>GUP</w:t>
            </w:r>
          </w:p>
        </w:tc>
        <w:tc>
          <w:tcPr>
            <w:tcW w:w="860" w:type="dxa"/>
            <w:tcBorders>
              <w:top w:val="single" w:sz="4" w:space="0" w:color="000000"/>
              <w:left w:val="nil"/>
              <w:bottom w:val="single" w:sz="4" w:space="0" w:color="000000"/>
              <w:right w:val="single" w:sz="4" w:space="0" w:color="000000"/>
            </w:tcBorders>
            <w:shd w:val="clear" w:color="D1DBF0" w:fill="D1DBF0"/>
            <w:vAlign w:val="bottom"/>
            <w:hideMark/>
          </w:tcPr>
          <w:p w14:paraId="5E91E5A9" w14:textId="77777777" w:rsidR="005008E7" w:rsidRPr="005008E7" w:rsidRDefault="005008E7" w:rsidP="005008E7">
            <w:pPr>
              <w:spacing w:line="240" w:lineRule="auto"/>
              <w:jc w:val="center"/>
              <w:rPr>
                <w:rFonts w:ascii="Calibri" w:eastAsia="Times New Roman" w:hAnsi="Calibri" w:cs="Calibri"/>
                <w:color w:val="000000"/>
                <w:sz w:val="16"/>
                <w:szCs w:val="16"/>
              </w:rPr>
            </w:pPr>
            <w:r w:rsidRPr="005008E7">
              <w:rPr>
                <w:rFonts w:ascii="Calibri" w:eastAsia="Times New Roman" w:hAnsi="Calibri" w:cs="Calibri"/>
                <w:color w:val="000000"/>
                <w:sz w:val="16"/>
                <w:szCs w:val="16"/>
              </w:rPr>
              <w:t xml:space="preserve"> asfaltiranje</w:t>
            </w:r>
          </w:p>
        </w:tc>
        <w:tc>
          <w:tcPr>
            <w:tcW w:w="660" w:type="dxa"/>
            <w:tcBorders>
              <w:top w:val="single" w:sz="4" w:space="0" w:color="000000"/>
              <w:left w:val="nil"/>
              <w:bottom w:val="single" w:sz="4" w:space="0" w:color="000000"/>
              <w:right w:val="single" w:sz="4" w:space="0" w:color="000000"/>
            </w:tcBorders>
            <w:shd w:val="clear" w:color="D1DBF0" w:fill="D1DBF0"/>
            <w:vAlign w:val="bottom"/>
            <w:hideMark/>
          </w:tcPr>
          <w:p w14:paraId="1E247038" w14:textId="77777777" w:rsidR="005008E7" w:rsidRPr="005008E7" w:rsidRDefault="005008E7" w:rsidP="005008E7">
            <w:pPr>
              <w:spacing w:line="240" w:lineRule="auto"/>
              <w:jc w:val="center"/>
              <w:rPr>
                <w:rFonts w:ascii="Calibri" w:eastAsia="Times New Roman" w:hAnsi="Calibri" w:cs="Calibri"/>
                <w:color w:val="000000"/>
                <w:sz w:val="16"/>
                <w:szCs w:val="16"/>
              </w:rPr>
            </w:pPr>
            <w:r w:rsidRPr="005008E7">
              <w:rPr>
                <w:rFonts w:ascii="Calibri" w:eastAsia="Times New Roman" w:hAnsi="Calibri" w:cs="Calibri"/>
                <w:color w:val="000000"/>
                <w:sz w:val="16"/>
                <w:szCs w:val="16"/>
              </w:rPr>
              <w:t xml:space="preserve"> stupići</w:t>
            </w:r>
          </w:p>
        </w:tc>
        <w:tc>
          <w:tcPr>
            <w:tcW w:w="860" w:type="dxa"/>
            <w:tcBorders>
              <w:top w:val="single" w:sz="4" w:space="0" w:color="000000"/>
              <w:left w:val="nil"/>
              <w:bottom w:val="single" w:sz="4" w:space="0" w:color="000000"/>
              <w:right w:val="single" w:sz="4" w:space="0" w:color="000000"/>
            </w:tcBorders>
            <w:shd w:val="clear" w:color="D1DBF0" w:fill="D1DBF0"/>
            <w:vAlign w:val="bottom"/>
            <w:hideMark/>
          </w:tcPr>
          <w:p w14:paraId="76F1D66D" w14:textId="77777777" w:rsidR="005008E7" w:rsidRPr="005008E7" w:rsidRDefault="005008E7" w:rsidP="005008E7">
            <w:pPr>
              <w:spacing w:line="240" w:lineRule="auto"/>
              <w:jc w:val="center"/>
              <w:rPr>
                <w:rFonts w:ascii="Calibri" w:eastAsia="Times New Roman" w:hAnsi="Calibri" w:cs="Calibri"/>
                <w:color w:val="000000"/>
                <w:sz w:val="16"/>
                <w:szCs w:val="16"/>
              </w:rPr>
            </w:pPr>
            <w:r w:rsidRPr="005008E7">
              <w:rPr>
                <w:rFonts w:ascii="Calibri" w:eastAsia="Times New Roman" w:hAnsi="Calibri" w:cs="Calibri"/>
                <w:color w:val="000000"/>
                <w:sz w:val="16"/>
                <w:szCs w:val="16"/>
              </w:rPr>
              <w:t xml:space="preserve"> zabrana parkinga</w:t>
            </w:r>
          </w:p>
        </w:tc>
      </w:tr>
      <w:tr w:rsidR="005008E7" w:rsidRPr="005008E7" w14:paraId="1F2F7C0A" w14:textId="77777777" w:rsidTr="005008E7">
        <w:trPr>
          <w:trHeight w:val="315"/>
        </w:trPr>
        <w:tc>
          <w:tcPr>
            <w:tcW w:w="1360" w:type="dxa"/>
            <w:tcBorders>
              <w:top w:val="nil"/>
              <w:left w:val="single" w:sz="4" w:space="0" w:color="000000"/>
              <w:bottom w:val="single" w:sz="4" w:space="0" w:color="000000"/>
              <w:right w:val="single" w:sz="4" w:space="0" w:color="000000"/>
            </w:tcBorders>
            <w:shd w:val="clear" w:color="auto" w:fill="auto"/>
            <w:noWrap/>
            <w:vAlign w:val="bottom"/>
            <w:hideMark/>
          </w:tcPr>
          <w:p w14:paraId="69812382" w14:textId="77777777" w:rsidR="005008E7" w:rsidRPr="005008E7" w:rsidRDefault="005008E7" w:rsidP="005008E7">
            <w:pPr>
              <w:spacing w:line="240" w:lineRule="auto"/>
              <w:jc w:val="center"/>
              <w:rPr>
                <w:rFonts w:ascii="Calibri" w:eastAsia="Times New Roman" w:hAnsi="Calibri" w:cs="Calibri"/>
                <w:color w:val="23FF06"/>
                <w:sz w:val="16"/>
                <w:szCs w:val="16"/>
              </w:rPr>
            </w:pPr>
            <w:r w:rsidRPr="005008E7">
              <w:rPr>
                <w:rFonts w:ascii="Calibri" w:eastAsia="Times New Roman" w:hAnsi="Calibri" w:cs="Calibri"/>
                <w:color w:val="23FF06"/>
                <w:sz w:val="16"/>
                <w:szCs w:val="16"/>
              </w:rPr>
              <w:t>Anja Pletikosa</w:t>
            </w:r>
          </w:p>
        </w:tc>
        <w:tc>
          <w:tcPr>
            <w:tcW w:w="640" w:type="dxa"/>
            <w:tcBorders>
              <w:top w:val="nil"/>
              <w:left w:val="nil"/>
              <w:bottom w:val="single" w:sz="4" w:space="0" w:color="000000"/>
              <w:right w:val="single" w:sz="4" w:space="0" w:color="000000"/>
            </w:tcBorders>
            <w:shd w:val="clear" w:color="auto" w:fill="auto"/>
            <w:noWrap/>
            <w:vAlign w:val="bottom"/>
            <w:hideMark/>
          </w:tcPr>
          <w:p w14:paraId="1A3C2A1D"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w:t>
            </w:r>
          </w:p>
        </w:tc>
        <w:tc>
          <w:tcPr>
            <w:tcW w:w="560" w:type="dxa"/>
            <w:tcBorders>
              <w:top w:val="nil"/>
              <w:left w:val="nil"/>
              <w:bottom w:val="single" w:sz="4" w:space="0" w:color="000000"/>
              <w:right w:val="single" w:sz="4" w:space="0" w:color="000000"/>
            </w:tcBorders>
            <w:shd w:val="clear" w:color="auto" w:fill="auto"/>
            <w:noWrap/>
            <w:vAlign w:val="bottom"/>
            <w:hideMark/>
          </w:tcPr>
          <w:p w14:paraId="112865FE"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w:t>
            </w:r>
          </w:p>
        </w:tc>
        <w:tc>
          <w:tcPr>
            <w:tcW w:w="740" w:type="dxa"/>
            <w:tcBorders>
              <w:top w:val="nil"/>
              <w:left w:val="nil"/>
              <w:bottom w:val="single" w:sz="4" w:space="0" w:color="000000"/>
              <w:right w:val="single" w:sz="4" w:space="0" w:color="000000"/>
            </w:tcBorders>
            <w:shd w:val="clear" w:color="auto" w:fill="auto"/>
            <w:noWrap/>
            <w:vAlign w:val="bottom"/>
            <w:hideMark/>
          </w:tcPr>
          <w:p w14:paraId="55DD7160"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w:t>
            </w:r>
          </w:p>
        </w:tc>
        <w:tc>
          <w:tcPr>
            <w:tcW w:w="1020" w:type="dxa"/>
            <w:tcBorders>
              <w:top w:val="nil"/>
              <w:left w:val="nil"/>
              <w:bottom w:val="single" w:sz="4" w:space="0" w:color="000000"/>
              <w:right w:val="single" w:sz="4" w:space="0" w:color="000000"/>
            </w:tcBorders>
            <w:shd w:val="clear" w:color="auto" w:fill="auto"/>
            <w:noWrap/>
            <w:vAlign w:val="bottom"/>
            <w:hideMark/>
          </w:tcPr>
          <w:p w14:paraId="2B53613E"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w:t>
            </w:r>
          </w:p>
        </w:tc>
        <w:tc>
          <w:tcPr>
            <w:tcW w:w="760" w:type="dxa"/>
            <w:tcBorders>
              <w:top w:val="nil"/>
              <w:left w:val="nil"/>
              <w:bottom w:val="single" w:sz="4" w:space="0" w:color="000000"/>
              <w:right w:val="single" w:sz="4" w:space="0" w:color="000000"/>
            </w:tcBorders>
            <w:shd w:val="clear" w:color="auto" w:fill="auto"/>
            <w:noWrap/>
            <w:vAlign w:val="bottom"/>
            <w:hideMark/>
          </w:tcPr>
          <w:p w14:paraId="38C65A8B"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w:t>
            </w:r>
          </w:p>
        </w:tc>
        <w:tc>
          <w:tcPr>
            <w:tcW w:w="820" w:type="dxa"/>
            <w:tcBorders>
              <w:top w:val="nil"/>
              <w:left w:val="nil"/>
              <w:bottom w:val="single" w:sz="4" w:space="0" w:color="000000"/>
              <w:right w:val="single" w:sz="4" w:space="0" w:color="000000"/>
            </w:tcBorders>
            <w:shd w:val="clear" w:color="auto" w:fill="auto"/>
            <w:noWrap/>
            <w:vAlign w:val="bottom"/>
            <w:hideMark/>
          </w:tcPr>
          <w:p w14:paraId="2C8C6A3A"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w:t>
            </w:r>
          </w:p>
        </w:tc>
        <w:tc>
          <w:tcPr>
            <w:tcW w:w="940" w:type="dxa"/>
            <w:tcBorders>
              <w:top w:val="nil"/>
              <w:left w:val="nil"/>
              <w:bottom w:val="single" w:sz="4" w:space="0" w:color="000000"/>
              <w:right w:val="single" w:sz="4" w:space="0" w:color="000000"/>
            </w:tcBorders>
            <w:shd w:val="clear" w:color="auto" w:fill="auto"/>
            <w:noWrap/>
            <w:vAlign w:val="bottom"/>
            <w:hideMark/>
          </w:tcPr>
          <w:p w14:paraId="21D403D8"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w:t>
            </w:r>
          </w:p>
        </w:tc>
        <w:tc>
          <w:tcPr>
            <w:tcW w:w="680" w:type="dxa"/>
            <w:tcBorders>
              <w:top w:val="nil"/>
              <w:left w:val="nil"/>
              <w:bottom w:val="single" w:sz="4" w:space="0" w:color="000000"/>
              <w:right w:val="single" w:sz="4" w:space="0" w:color="000000"/>
            </w:tcBorders>
            <w:shd w:val="clear" w:color="auto" w:fill="auto"/>
            <w:noWrap/>
            <w:vAlign w:val="bottom"/>
            <w:hideMark/>
          </w:tcPr>
          <w:p w14:paraId="5DA447F7"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w:t>
            </w:r>
          </w:p>
        </w:tc>
        <w:tc>
          <w:tcPr>
            <w:tcW w:w="860" w:type="dxa"/>
            <w:tcBorders>
              <w:top w:val="nil"/>
              <w:left w:val="nil"/>
              <w:bottom w:val="single" w:sz="4" w:space="0" w:color="000000"/>
              <w:right w:val="single" w:sz="4" w:space="0" w:color="000000"/>
            </w:tcBorders>
            <w:shd w:val="clear" w:color="auto" w:fill="auto"/>
            <w:noWrap/>
            <w:vAlign w:val="bottom"/>
            <w:hideMark/>
          </w:tcPr>
          <w:p w14:paraId="0269A80D"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w:t>
            </w:r>
          </w:p>
        </w:tc>
        <w:tc>
          <w:tcPr>
            <w:tcW w:w="660" w:type="dxa"/>
            <w:tcBorders>
              <w:top w:val="nil"/>
              <w:left w:val="nil"/>
              <w:bottom w:val="single" w:sz="4" w:space="0" w:color="000000"/>
              <w:right w:val="single" w:sz="4" w:space="0" w:color="000000"/>
            </w:tcBorders>
            <w:shd w:val="clear" w:color="auto" w:fill="auto"/>
            <w:noWrap/>
            <w:vAlign w:val="bottom"/>
            <w:hideMark/>
          </w:tcPr>
          <w:p w14:paraId="2A609B9E"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w:t>
            </w:r>
          </w:p>
        </w:tc>
        <w:tc>
          <w:tcPr>
            <w:tcW w:w="860" w:type="dxa"/>
            <w:tcBorders>
              <w:top w:val="nil"/>
              <w:left w:val="nil"/>
              <w:bottom w:val="single" w:sz="4" w:space="0" w:color="000000"/>
              <w:right w:val="single" w:sz="4" w:space="0" w:color="000000"/>
            </w:tcBorders>
            <w:shd w:val="clear" w:color="auto" w:fill="auto"/>
            <w:noWrap/>
            <w:vAlign w:val="bottom"/>
            <w:hideMark/>
          </w:tcPr>
          <w:p w14:paraId="573ECC46"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w:t>
            </w:r>
          </w:p>
        </w:tc>
      </w:tr>
      <w:tr w:rsidR="005008E7" w:rsidRPr="005008E7" w14:paraId="032E6EFA" w14:textId="77777777" w:rsidTr="005008E7">
        <w:trPr>
          <w:trHeight w:val="315"/>
        </w:trPr>
        <w:tc>
          <w:tcPr>
            <w:tcW w:w="1360" w:type="dxa"/>
            <w:tcBorders>
              <w:top w:val="nil"/>
              <w:left w:val="single" w:sz="4" w:space="0" w:color="000000"/>
              <w:bottom w:val="single" w:sz="4" w:space="0" w:color="000000"/>
              <w:right w:val="single" w:sz="4" w:space="0" w:color="000000"/>
            </w:tcBorders>
            <w:shd w:val="clear" w:color="auto" w:fill="auto"/>
            <w:noWrap/>
            <w:vAlign w:val="bottom"/>
            <w:hideMark/>
          </w:tcPr>
          <w:p w14:paraId="7BB6409B" w14:textId="77777777" w:rsidR="005008E7" w:rsidRPr="005008E7" w:rsidRDefault="005008E7" w:rsidP="005008E7">
            <w:pPr>
              <w:spacing w:line="240" w:lineRule="auto"/>
              <w:jc w:val="center"/>
              <w:rPr>
                <w:rFonts w:ascii="Calibri" w:eastAsia="Times New Roman" w:hAnsi="Calibri" w:cs="Calibri"/>
                <w:color w:val="23FF06"/>
                <w:sz w:val="16"/>
                <w:szCs w:val="16"/>
              </w:rPr>
            </w:pPr>
            <w:r w:rsidRPr="005008E7">
              <w:rPr>
                <w:rFonts w:ascii="Calibri" w:eastAsia="Times New Roman" w:hAnsi="Calibri" w:cs="Calibri"/>
                <w:color w:val="23FF06"/>
                <w:sz w:val="16"/>
                <w:szCs w:val="16"/>
              </w:rPr>
              <w:t>Vanja Mladineo</w:t>
            </w:r>
          </w:p>
        </w:tc>
        <w:tc>
          <w:tcPr>
            <w:tcW w:w="640" w:type="dxa"/>
            <w:tcBorders>
              <w:top w:val="nil"/>
              <w:left w:val="nil"/>
              <w:bottom w:val="single" w:sz="4" w:space="0" w:color="000000"/>
              <w:right w:val="single" w:sz="4" w:space="0" w:color="000000"/>
            </w:tcBorders>
            <w:shd w:val="clear" w:color="auto" w:fill="auto"/>
            <w:noWrap/>
            <w:vAlign w:val="bottom"/>
            <w:hideMark/>
          </w:tcPr>
          <w:p w14:paraId="19D96443"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w:t>
            </w:r>
          </w:p>
        </w:tc>
        <w:tc>
          <w:tcPr>
            <w:tcW w:w="560" w:type="dxa"/>
            <w:tcBorders>
              <w:top w:val="nil"/>
              <w:left w:val="nil"/>
              <w:bottom w:val="single" w:sz="4" w:space="0" w:color="000000"/>
              <w:right w:val="single" w:sz="4" w:space="0" w:color="000000"/>
            </w:tcBorders>
            <w:shd w:val="clear" w:color="auto" w:fill="auto"/>
            <w:noWrap/>
            <w:vAlign w:val="bottom"/>
            <w:hideMark/>
          </w:tcPr>
          <w:p w14:paraId="43E80BD2"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w:t>
            </w:r>
          </w:p>
        </w:tc>
        <w:tc>
          <w:tcPr>
            <w:tcW w:w="740" w:type="dxa"/>
            <w:tcBorders>
              <w:top w:val="nil"/>
              <w:left w:val="nil"/>
              <w:bottom w:val="single" w:sz="4" w:space="0" w:color="000000"/>
              <w:right w:val="single" w:sz="4" w:space="0" w:color="000000"/>
            </w:tcBorders>
            <w:shd w:val="clear" w:color="auto" w:fill="auto"/>
            <w:noWrap/>
            <w:vAlign w:val="bottom"/>
            <w:hideMark/>
          </w:tcPr>
          <w:p w14:paraId="381A5AF2"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w:t>
            </w:r>
          </w:p>
        </w:tc>
        <w:tc>
          <w:tcPr>
            <w:tcW w:w="1020" w:type="dxa"/>
            <w:tcBorders>
              <w:top w:val="nil"/>
              <w:left w:val="nil"/>
              <w:bottom w:val="single" w:sz="4" w:space="0" w:color="000000"/>
              <w:right w:val="single" w:sz="4" w:space="0" w:color="000000"/>
            </w:tcBorders>
            <w:shd w:val="clear" w:color="auto" w:fill="auto"/>
            <w:noWrap/>
            <w:vAlign w:val="bottom"/>
            <w:hideMark/>
          </w:tcPr>
          <w:p w14:paraId="661FBFB7"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w:t>
            </w:r>
          </w:p>
        </w:tc>
        <w:tc>
          <w:tcPr>
            <w:tcW w:w="760" w:type="dxa"/>
            <w:tcBorders>
              <w:top w:val="nil"/>
              <w:left w:val="nil"/>
              <w:bottom w:val="single" w:sz="4" w:space="0" w:color="000000"/>
              <w:right w:val="single" w:sz="4" w:space="0" w:color="000000"/>
            </w:tcBorders>
            <w:shd w:val="clear" w:color="auto" w:fill="auto"/>
            <w:noWrap/>
            <w:vAlign w:val="bottom"/>
            <w:hideMark/>
          </w:tcPr>
          <w:p w14:paraId="6B0ACC75"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w:t>
            </w:r>
          </w:p>
        </w:tc>
        <w:tc>
          <w:tcPr>
            <w:tcW w:w="820" w:type="dxa"/>
            <w:tcBorders>
              <w:top w:val="nil"/>
              <w:left w:val="nil"/>
              <w:bottom w:val="single" w:sz="4" w:space="0" w:color="000000"/>
              <w:right w:val="single" w:sz="4" w:space="0" w:color="000000"/>
            </w:tcBorders>
            <w:shd w:val="clear" w:color="auto" w:fill="auto"/>
            <w:noWrap/>
            <w:vAlign w:val="bottom"/>
            <w:hideMark/>
          </w:tcPr>
          <w:p w14:paraId="1852A3CF"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w:t>
            </w:r>
          </w:p>
        </w:tc>
        <w:tc>
          <w:tcPr>
            <w:tcW w:w="940" w:type="dxa"/>
            <w:tcBorders>
              <w:top w:val="nil"/>
              <w:left w:val="nil"/>
              <w:bottom w:val="single" w:sz="4" w:space="0" w:color="000000"/>
              <w:right w:val="single" w:sz="4" w:space="0" w:color="000000"/>
            </w:tcBorders>
            <w:shd w:val="clear" w:color="auto" w:fill="auto"/>
            <w:noWrap/>
            <w:vAlign w:val="bottom"/>
            <w:hideMark/>
          </w:tcPr>
          <w:p w14:paraId="3563070E"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w:t>
            </w:r>
          </w:p>
        </w:tc>
        <w:tc>
          <w:tcPr>
            <w:tcW w:w="680" w:type="dxa"/>
            <w:tcBorders>
              <w:top w:val="nil"/>
              <w:left w:val="nil"/>
              <w:bottom w:val="single" w:sz="4" w:space="0" w:color="000000"/>
              <w:right w:val="single" w:sz="4" w:space="0" w:color="000000"/>
            </w:tcBorders>
            <w:shd w:val="clear" w:color="auto" w:fill="auto"/>
            <w:noWrap/>
            <w:vAlign w:val="bottom"/>
            <w:hideMark/>
          </w:tcPr>
          <w:p w14:paraId="3312692C"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w:t>
            </w:r>
          </w:p>
        </w:tc>
        <w:tc>
          <w:tcPr>
            <w:tcW w:w="860" w:type="dxa"/>
            <w:tcBorders>
              <w:top w:val="nil"/>
              <w:left w:val="nil"/>
              <w:bottom w:val="single" w:sz="4" w:space="0" w:color="000000"/>
              <w:right w:val="single" w:sz="4" w:space="0" w:color="000000"/>
            </w:tcBorders>
            <w:shd w:val="clear" w:color="auto" w:fill="auto"/>
            <w:noWrap/>
            <w:vAlign w:val="bottom"/>
            <w:hideMark/>
          </w:tcPr>
          <w:p w14:paraId="64598297"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w:t>
            </w:r>
          </w:p>
        </w:tc>
        <w:tc>
          <w:tcPr>
            <w:tcW w:w="660" w:type="dxa"/>
            <w:tcBorders>
              <w:top w:val="nil"/>
              <w:left w:val="nil"/>
              <w:bottom w:val="single" w:sz="4" w:space="0" w:color="000000"/>
              <w:right w:val="single" w:sz="4" w:space="0" w:color="000000"/>
            </w:tcBorders>
            <w:shd w:val="clear" w:color="auto" w:fill="auto"/>
            <w:noWrap/>
            <w:vAlign w:val="bottom"/>
            <w:hideMark/>
          </w:tcPr>
          <w:p w14:paraId="58F3D13E"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w:t>
            </w:r>
          </w:p>
        </w:tc>
        <w:tc>
          <w:tcPr>
            <w:tcW w:w="860" w:type="dxa"/>
            <w:tcBorders>
              <w:top w:val="nil"/>
              <w:left w:val="nil"/>
              <w:bottom w:val="single" w:sz="4" w:space="0" w:color="000000"/>
              <w:right w:val="single" w:sz="4" w:space="0" w:color="000000"/>
            </w:tcBorders>
            <w:shd w:val="clear" w:color="auto" w:fill="auto"/>
            <w:noWrap/>
            <w:vAlign w:val="bottom"/>
            <w:hideMark/>
          </w:tcPr>
          <w:p w14:paraId="1CAF1111"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w:t>
            </w:r>
          </w:p>
        </w:tc>
      </w:tr>
      <w:tr w:rsidR="005008E7" w:rsidRPr="005008E7" w14:paraId="2936EED8" w14:textId="77777777" w:rsidTr="005008E7">
        <w:trPr>
          <w:trHeight w:val="315"/>
        </w:trPr>
        <w:tc>
          <w:tcPr>
            <w:tcW w:w="1360" w:type="dxa"/>
            <w:tcBorders>
              <w:top w:val="nil"/>
              <w:left w:val="single" w:sz="4" w:space="0" w:color="000000"/>
              <w:bottom w:val="single" w:sz="4" w:space="0" w:color="000000"/>
              <w:right w:val="single" w:sz="4" w:space="0" w:color="000000"/>
            </w:tcBorders>
            <w:shd w:val="clear" w:color="auto" w:fill="auto"/>
            <w:noWrap/>
            <w:vAlign w:val="bottom"/>
            <w:hideMark/>
          </w:tcPr>
          <w:p w14:paraId="27643055" w14:textId="77777777" w:rsidR="005008E7" w:rsidRPr="005008E7" w:rsidRDefault="005008E7" w:rsidP="005008E7">
            <w:pPr>
              <w:spacing w:line="240" w:lineRule="auto"/>
              <w:jc w:val="center"/>
              <w:rPr>
                <w:rFonts w:ascii="Calibri" w:eastAsia="Times New Roman" w:hAnsi="Calibri" w:cs="Calibri"/>
                <w:color w:val="23FF06"/>
                <w:sz w:val="16"/>
                <w:szCs w:val="16"/>
              </w:rPr>
            </w:pPr>
            <w:r w:rsidRPr="005008E7">
              <w:rPr>
                <w:rFonts w:ascii="Calibri" w:eastAsia="Times New Roman" w:hAnsi="Calibri" w:cs="Calibri"/>
                <w:color w:val="23FF06"/>
                <w:sz w:val="16"/>
                <w:szCs w:val="16"/>
              </w:rPr>
              <w:t>Tamara Bjažić Klarin</w:t>
            </w:r>
          </w:p>
        </w:tc>
        <w:tc>
          <w:tcPr>
            <w:tcW w:w="640" w:type="dxa"/>
            <w:tcBorders>
              <w:top w:val="nil"/>
              <w:left w:val="nil"/>
              <w:bottom w:val="single" w:sz="4" w:space="0" w:color="000000"/>
              <w:right w:val="single" w:sz="4" w:space="0" w:color="000000"/>
            </w:tcBorders>
            <w:shd w:val="clear" w:color="auto" w:fill="auto"/>
            <w:noWrap/>
            <w:vAlign w:val="bottom"/>
            <w:hideMark/>
          </w:tcPr>
          <w:p w14:paraId="499EF99C"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w:t>
            </w:r>
          </w:p>
        </w:tc>
        <w:tc>
          <w:tcPr>
            <w:tcW w:w="560" w:type="dxa"/>
            <w:tcBorders>
              <w:top w:val="nil"/>
              <w:left w:val="nil"/>
              <w:bottom w:val="single" w:sz="4" w:space="0" w:color="000000"/>
              <w:right w:val="single" w:sz="4" w:space="0" w:color="000000"/>
            </w:tcBorders>
            <w:shd w:val="clear" w:color="auto" w:fill="auto"/>
            <w:noWrap/>
            <w:vAlign w:val="bottom"/>
            <w:hideMark/>
          </w:tcPr>
          <w:p w14:paraId="72DAA026"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w:t>
            </w:r>
          </w:p>
        </w:tc>
        <w:tc>
          <w:tcPr>
            <w:tcW w:w="740" w:type="dxa"/>
            <w:tcBorders>
              <w:top w:val="nil"/>
              <w:left w:val="nil"/>
              <w:bottom w:val="single" w:sz="4" w:space="0" w:color="000000"/>
              <w:right w:val="single" w:sz="4" w:space="0" w:color="000000"/>
            </w:tcBorders>
            <w:shd w:val="clear" w:color="auto" w:fill="auto"/>
            <w:noWrap/>
            <w:vAlign w:val="bottom"/>
            <w:hideMark/>
          </w:tcPr>
          <w:p w14:paraId="483EC0C6"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w:t>
            </w:r>
          </w:p>
        </w:tc>
        <w:tc>
          <w:tcPr>
            <w:tcW w:w="1020" w:type="dxa"/>
            <w:tcBorders>
              <w:top w:val="nil"/>
              <w:left w:val="nil"/>
              <w:bottom w:val="single" w:sz="4" w:space="0" w:color="000000"/>
              <w:right w:val="single" w:sz="4" w:space="0" w:color="000000"/>
            </w:tcBorders>
            <w:shd w:val="clear" w:color="auto" w:fill="auto"/>
            <w:noWrap/>
            <w:vAlign w:val="bottom"/>
            <w:hideMark/>
          </w:tcPr>
          <w:p w14:paraId="2A764638"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w:t>
            </w:r>
          </w:p>
        </w:tc>
        <w:tc>
          <w:tcPr>
            <w:tcW w:w="760" w:type="dxa"/>
            <w:tcBorders>
              <w:top w:val="nil"/>
              <w:left w:val="nil"/>
              <w:bottom w:val="single" w:sz="4" w:space="0" w:color="000000"/>
              <w:right w:val="single" w:sz="4" w:space="0" w:color="000000"/>
            </w:tcBorders>
            <w:shd w:val="clear" w:color="auto" w:fill="auto"/>
            <w:noWrap/>
            <w:vAlign w:val="bottom"/>
            <w:hideMark/>
          </w:tcPr>
          <w:p w14:paraId="1670A777"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w:t>
            </w:r>
          </w:p>
        </w:tc>
        <w:tc>
          <w:tcPr>
            <w:tcW w:w="820" w:type="dxa"/>
            <w:tcBorders>
              <w:top w:val="nil"/>
              <w:left w:val="nil"/>
              <w:bottom w:val="single" w:sz="4" w:space="0" w:color="000000"/>
              <w:right w:val="single" w:sz="4" w:space="0" w:color="000000"/>
            </w:tcBorders>
            <w:shd w:val="clear" w:color="auto" w:fill="auto"/>
            <w:noWrap/>
            <w:vAlign w:val="bottom"/>
            <w:hideMark/>
          </w:tcPr>
          <w:p w14:paraId="7AD540E4"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w:t>
            </w:r>
          </w:p>
        </w:tc>
        <w:tc>
          <w:tcPr>
            <w:tcW w:w="940" w:type="dxa"/>
            <w:tcBorders>
              <w:top w:val="nil"/>
              <w:left w:val="nil"/>
              <w:bottom w:val="single" w:sz="4" w:space="0" w:color="000000"/>
              <w:right w:val="single" w:sz="4" w:space="0" w:color="000000"/>
            </w:tcBorders>
            <w:shd w:val="clear" w:color="auto" w:fill="auto"/>
            <w:noWrap/>
            <w:vAlign w:val="bottom"/>
            <w:hideMark/>
          </w:tcPr>
          <w:p w14:paraId="622761AA" w14:textId="77777777" w:rsidR="005008E7" w:rsidRPr="005008E7" w:rsidRDefault="005008E7" w:rsidP="005008E7">
            <w:pPr>
              <w:spacing w:line="240" w:lineRule="auto"/>
              <w:jc w:val="right"/>
              <w:rPr>
                <w:rFonts w:eastAsia="Times New Roman"/>
                <w:color w:val="000000"/>
                <w:sz w:val="20"/>
                <w:szCs w:val="20"/>
              </w:rPr>
            </w:pPr>
            <w:r w:rsidRPr="005008E7">
              <w:rPr>
                <w:rFonts w:eastAsia="Times New Roman"/>
                <w:color w:val="000000"/>
                <w:sz w:val="20"/>
                <w:szCs w:val="20"/>
              </w:rPr>
              <w:t>0</w:t>
            </w:r>
          </w:p>
        </w:tc>
        <w:tc>
          <w:tcPr>
            <w:tcW w:w="680" w:type="dxa"/>
            <w:tcBorders>
              <w:top w:val="nil"/>
              <w:left w:val="nil"/>
              <w:bottom w:val="single" w:sz="4" w:space="0" w:color="000000"/>
              <w:right w:val="single" w:sz="4" w:space="0" w:color="000000"/>
            </w:tcBorders>
            <w:shd w:val="clear" w:color="auto" w:fill="auto"/>
            <w:noWrap/>
            <w:vAlign w:val="bottom"/>
            <w:hideMark/>
          </w:tcPr>
          <w:p w14:paraId="1BDA93E5"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w:t>
            </w:r>
          </w:p>
        </w:tc>
        <w:tc>
          <w:tcPr>
            <w:tcW w:w="860" w:type="dxa"/>
            <w:tcBorders>
              <w:top w:val="nil"/>
              <w:left w:val="nil"/>
              <w:bottom w:val="single" w:sz="4" w:space="0" w:color="000000"/>
              <w:right w:val="single" w:sz="4" w:space="0" w:color="000000"/>
            </w:tcBorders>
            <w:shd w:val="clear" w:color="auto" w:fill="auto"/>
            <w:noWrap/>
            <w:vAlign w:val="bottom"/>
            <w:hideMark/>
          </w:tcPr>
          <w:p w14:paraId="2B688991"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w:t>
            </w:r>
          </w:p>
        </w:tc>
        <w:tc>
          <w:tcPr>
            <w:tcW w:w="660" w:type="dxa"/>
            <w:tcBorders>
              <w:top w:val="nil"/>
              <w:left w:val="nil"/>
              <w:bottom w:val="single" w:sz="4" w:space="0" w:color="000000"/>
              <w:right w:val="single" w:sz="4" w:space="0" w:color="000000"/>
            </w:tcBorders>
            <w:shd w:val="clear" w:color="auto" w:fill="auto"/>
            <w:noWrap/>
            <w:vAlign w:val="bottom"/>
            <w:hideMark/>
          </w:tcPr>
          <w:p w14:paraId="64723D31"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w:t>
            </w:r>
          </w:p>
        </w:tc>
        <w:tc>
          <w:tcPr>
            <w:tcW w:w="860" w:type="dxa"/>
            <w:tcBorders>
              <w:top w:val="nil"/>
              <w:left w:val="nil"/>
              <w:bottom w:val="single" w:sz="4" w:space="0" w:color="000000"/>
              <w:right w:val="single" w:sz="4" w:space="0" w:color="000000"/>
            </w:tcBorders>
            <w:shd w:val="clear" w:color="auto" w:fill="auto"/>
            <w:noWrap/>
            <w:vAlign w:val="bottom"/>
            <w:hideMark/>
          </w:tcPr>
          <w:p w14:paraId="0DA25F83"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w:t>
            </w:r>
          </w:p>
        </w:tc>
      </w:tr>
      <w:tr w:rsidR="005008E7" w:rsidRPr="005008E7" w14:paraId="709A0253" w14:textId="77777777" w:rsidTr="005008E7">
        <w:trPr>
          <w:trHeight w:val="315"/>
        </w:trPr>
        <w:tc>
          <w:tcPr>
            <w:tcW w:w="1360" w:type="dxa"/>
            <w:tcBorders>
              <w:top w:val="nil"/>
              <w:left w:val="single" w:sz="4" w:space="0" w:color="000000"/>
              <w:bottom w:val="single" w:sz="4" w:space="0" w:color="000000"/>
              <w:right w:val="single" w:sz="4" w:space="0" w:color="000000"/>
            </w:tcBorders>
            <w:shd w:val="clear" w:color="auto" w:fill="auto"/>
            <w:noWrap/>
            <w:vAlign w:val="bottom"/>
            <w:hideMark/>
          </w:tcPr>
          <w:p w14:paraId="3B75AE88" w14:textId="77777777" w:rsidR="005008E7" w:rsidRPr="005008E7" w:rsidRDefault="005008E7" w:rsidP="005008E7">
            <w:pPr>
              <w:spacing w:line="240" w:lineRule="auto"/>
              <w:jc w:val="center"/>
              <w:rPr>
                <w:rFonts w:ascii="Calibri" w:eastAsia="Times New Roman" w:hAnsi="Calibri" w:cs="Calibri"/>
                <w:color w:val="23FF06"/>
                <w:sz w:val="16"/>
                <w:szCs w:val="16"/>
              </w:rPr>
            </w:pPr>
            <w:r w:rsidRPr="005008E7">
              <w:rPr>
                <w:rFonts w:ascii="Calibri" w:eastAsia="Times New Roman" w:hAnsi="Calibri" w:cs="Calibri"/>
                <w:strike/>
                <w:color w:val="23FF06"/>
                <w:sz w:val="16"/>
                <w:szCs w:val="16"/>
              </w:rPr>
              <w:t>Vanja Zubović</w:t>
            </w:r>
          </w:p>
        </w:tc>
        <w:tc>
          <w:tcPr>
            <w:tcW w:w="640" w:type="dxa"/>
            <w:tcBorders>
              <w:top w:val="nil"/>
              <w:left w:val="nil"/>
              <w:bottom w:val="single" w:sz="4" w:space="0" w:color="000000"/>
              <w:right w:val="single" w:sz="4" w:space="0" w:color="000000"/>
            </w:tcBorders>
            <w:shd w:val="clear" w:color="auto" w:fill="auto"/>
            <w:noWrap/>
            <w:vAlign w:val="bottom"/>
            <w:hideMark/>
          </w:tcPr>
          <w:p w14:paraId="2CB57DFC"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 </w:t>
            </w:r>
          </w:p>
        </w:tc>
        <w:tc>
          <w:tcPr>
            <w:tcW w:w="560" w:type="dxa"/>
            <w:tcBorders>
              <w:top w:val="nil"/>
              <w:left w:val="nil"/>
              <w:bottom w:val="single" w:sz="4" w:space="0" w:color="000000"/>
              <w:right w:val="single" w:sz="4" w:space="0" w:color="000000"/>
            </w:tcBorders>
            <w:shd w:val="clear" w:color="auto" w:fill="auto"/>
            <w:noWrap/>
            <w:vAlign w:val="bottom"/>
            <w:hideMark/>
          </w:tcPr>
          <w:p w14:paraId="49AEF993"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58A94BC0"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 </w:t>
            </w:r>
          </w:p>
        </w:tc>
        <w:tc>
          <w:tcPr>
            <w:tcW w:w="1020" w:type="dxa"/>
            <w:tcBorders>
              <w:top w:val="nil"/>
              <w:left w:val="nil"/>
              <w:bottom w:val="single" w:sz="4" w:space="0" w:color="000000"/>
              <w:right w:val="single" w:sz="4" w:space="0" w:color="000000"/>
            </w:tcBorders>
            <w:shd w:val="clear" w:color="auto" w:fill="auto"/>
            <w:noWrap/>
            <w:vAlign w:val="bottom"/>
            <w:hideMark/>
          </w:tcPr>
          <w:p w14:paraId="71CBEC4C"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373520DD"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 </w:t>
            </w:r>
          </w:p>
        </w:tc>
        <w:tc>
          <w:tcPr>
            <w:tcW w:w="820" w:type="dxa"/>
            <w:tcBorders>
              <w:top w:val="nil"/>
              <w:left w:val="nil"/>
              <w:bottom w:val="single" w:sz="4" w:space="0" w:color="000000"/>
              <w:right w:val="single" w:sz="4" w:space="0" w:color="000000"/>
            </w:tcBorders>
            <w:shd w:val="clear" w:color="auto" w:fill="auto"/>
            <w:noWrap/>
            <w:vAlign w:val="bottom"/>
            <w:hideMark/>
          </w:tcPr>
          <w:p w14:paraId="0C3A7E81"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 </w:t>
            </w:r>
          </w:p>
        </w:tc>
        <w:tc>
          <w:tcPr>
            <w:tcW w:w="940" w:type="dxa"/>
            <w:tcBorders>
              <w:top w:val="nil"/>
              <w:left w:val="nil"/>
              <w:bottom w:val="single" w:sz="4" w:space="0" w:color="000000"/>
              <w:right w:val="single" w:sz="4" w:space="0" w:color="000000"/>
            </w:tcBorders>
            <w:shd w:val="clear" w:color="auto" w:fill="auto"/>
            <w:noWrap/>
            <w:vAlign w:val="bottom"/>
            <w:hideMark/>
          </w:tcPr>
          <w:p w14:paraId="3B13C187"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 </w:t>
            </w:r>
          </w:p>
        </w:tc>
        <w:tc>
          <w:tcPr>
            <w:tcW w:w="680" w:type="dxa"/>
            <w:tcBorders>
              <w:top w:val="nil"/>
              <w:left w:val="nil"/>
              <w:bottom w:val="single" w:sz="4" w:space="0" w:color="000000"/>
              <w:right w:val="single" w:sz="4" w:space="0" w:color="000000"/>
            </w:tcBorders>
            <w:shd w:val="clear" w:color="auto" w:fill="auto"/>
            <w:noWrap/>
            <w:vAlign w:val="bottom"/>
            <w:hideMark/>
          </w:tcPr>
          <w:p w14:paraId="7FF42763"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 </w:t>
            </w:r>
          </w:p>
        </w:tc>
        <w:tc>
          <w:tcPr>
            <w:tcW w:w="860" w:type="dxa"/>
            <w:tcBorders>
              <w:top w:val="nil"/>
              <w:left w:val="nil"/>
              <w:bottom w:val="single" w:sz="4" w:space="0" w:color="000000"/>
              <w:right w:val="single" w:sz="4" w:space="0" w:color="000000"/>
            </w:tcBorders>
            <w:shd w:val="clear" w:color="auto" w:fill="auto"/>
            <w:noWrap/>
            <w:vAlign w:val="bottom"/>
            <w:hideMark/>
          </w:tcPr>
          <w:p w14:paraId="54980EE1"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687FA8C6"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 </w:t>
            </w:r>
          </w:p>
        </w:tc>
        <w:tc>
          <w:tcPr>
            <w:tcW w:w="860" w:type="dxa"/>
            <w:tcBorders>
              <w:top w:val="nil"/>
              <w:left w:val="nil"/>
              <w:bottom w:val="single" w:sz="4" w:space="0" w:color="000000"/>
              <w:right w:val="single" w:sz="4" w:space="0" w:color="000000"/>
            </w:tcBorders>
            <w:shd w:val="clear" w:color="auto" w:fill="auto"/>
            <w:noWrap/>
            <w:vAlign w:val="bottom"/>
            <w:hideMark/>
          </w:tcPr>
          <w:p w14:paraId="047AA85F"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 </w:t>
            </w:r>
          </w:p>
        </w:tc>
      </w:tr>
      <w:tr w:rsidR="005008E7" w:rsidRPr="005008E7" w14:paraId="56A0636B" w14:textId="77777777" w:rsidTr="005008E7">
        <w:trPr>
          <w:trHeight w:val="315"/>
        </w:trPr>
        <w:tc>
          <w:tcPr>
            <w:tcW w:w="1360" w:type="dxa"/>
            <w:tcBorders>
              <w:top w:val="nil"/>
              <w:left w:val="single" w:sz="4" w:space="0" w:color="000000"/>
              <w:bottom w:val="single" w:sz="4" w:space="0" w:color="000000"/>
              <w:right w:val="single" w:sz="4" w:space="0" w:color="000000"/>
            </w:tcBorders>
            <w:shd w:val="clear" w:color="auto" w:fill="auto"/>
            <w:noWrap/>
            <w:vAlign w:val="bottom"/>
            <w:hideMark/>
          </w:tcPr>
          <w:p w14:paraId="5F5824BC" w14:textId="77777777" w:rsidR="005008E7" w:rsidRPr="005008E7" w:rsidRDefault="005008E7" w:rsidP="005008E7">
            <w:pPr>
              <w:spacing w:line="240" w:lineRule="auto"/>
              <w:jc w:val="center"/>
              <w:rPr>
                <w:rFonts w:ascii="Calibri" w:eastAsia="Times New Roman" w:hAnsi="Calibri" w:cs="Calibri"/>
                <w:color w:val="23FF06"/>
                <w:sz w:val="16"/>
                <w:szCs w:val="16"/>
              </w:rPr>
            </w:pPr>
            <w:r w:rsidRPr="005008E7">
              <w:rPr>
                <w:rFonts w:ascii="Calibri" w:eastAsia="Times New Roman" w:hAnsi="Calibri" w:cs="Calibri"/>
                <w:strike/>
                <w:color w:val="23FF06"/>
                <w:sz w:val="16"/>
                <w:szCs w:val="16"/>
              </w:rPr>
              <w:t>Jadranka Čučković</w:t>
            </w:r>
          </w:p>
        </w:tc>
        <w:tc>
          <w:tcPr>
            <w:tcW w:w="640" w:type="dxa"/>
            <w:tcBorders>
              <w:top w:val="nil"/>
              <w:left w:val="nil"/>
              <w:bottom w:val="single" w:sz="4" w:space="0" w:color="000000"/>
              <w:right w:val="single" w:sz="4" w:space="0" w:color="000000"/>
            </w:tcBorders>
            <w:shd w:val="clear" w:color="auto" w:fill="auto"/>
            <w:noWrap/>
            <w:vAlign w:val="bottom"/>
            <w:hideMark/>
          </w:tcPr>
          <w:p w14:paraId="5386206E"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 </w:t>
            </w:r>
          </w:p>
        </w:tc>
        <w:tc>
          <w:tcPr>
            <w:tcW w:w="560" w:type="dxa"/>
            <w:tcBorders>
              <w:top w:val="nil"/>
              <w:left w:val="nil"/>
              <w:bottom w:val="single" w:sz="4" w:space="0" w:color="000000"/>
              <w:right w:val="single" w:sz="4" w:space="0" w:color="000000"/>
            </w:tcBorders>
            <w:shd w:val="clear" w:color="auto" w:fill="auto"/>
            <w:noWrap/>
            <w:vAlign w:val="bottom"/>
            <w:hideMark/>
          </w:tcPr>
          <w:p w14:paraId="5B96F786"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 </w:t>
            </w:r>
          </w:p>
        </w:tc>
        <w:tc>
          <w:tcPr>
            <w:tcW w:w="740" w:type="dxa"/>
            <w:tcBorders>
              <w:top w:val="nil"/>
              <w:left w:val="nil"/>
              <w:bottom w:val="single" w:sz="4" w:space="0" w:color="000000"/>
              <w:right w:val="single" w:sz="4" w:space="0" w:color="000000"/>
            </w:tcBorders>
            <w:shd w:val="clear" w:color="auto" w:fill="auto"/>
            <w:noWrap/>
            <w:vAlign w:val="bottom"/>
            <w:hideMark/>
          </w:tcPr>
          <w:p w14:paraId="49A2A82B"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 </w:t>
            </w:r>
          </w:p>
        </w:tc>
        <w:tc>
          <w:tcPr>
            <w:tcW w:w="1020" w:type="dxa"/>
            <w:tcBorders>
              <w:top w:val="nil"/>
              <w:left w:val="nil"/>
              <w:bottom w:val="single" w:sz="4" w:space="0" w:color="000000"/>
              <w:right w:val="single" w:sz="4" w:space="0" w:color="000000"/>
            </w:tcBorders>
            <w:shd w:val="clear" w:color="auto" w:fill="auto"/>
            <w:noWrap/>
            <w:vAlign w:val="bottom"/>
            <w:hideMark/>
          </w:tcPr>
          <w:p w14:paraId="001A6752"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0FFA6545"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 </w:t>
            </w:r>
          </w:p>
        </w:tc>
        <w:tc>
          <w:tcPr>
            <w:tcW w:w="820" w:type="dxa"/>
            <w:tcBorders>
              <w:top w:val="nil"/>
              <w:left w:val="nil"/>
              <w:bottom w:val="single" w:sz="4" w:space="0" w:color="000000"/>
              <w:right w:val="single" w:sz="4" w:space="0" w:color="000000"/>
            </w:tcBorders>
            <w:shd w:val="clear" w:color="auto" w:fill="auto"/>
            <w:noWrap/>
            <w:vAlign w:val="bottom"/>
            <w:hideMark/>
          </w:tcPr>
          <w:p w14:paraId="140BCF8D"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 </w:t>
            </w:r>
          </w:p>
        </w:tc>
        <w:tc>
          <w:tcPr>
            <w:tcW w:w="940" w:type="dxa"/>
            <w:tcBorders>
              <w:top w:val="nil"/>
              <w:left w:val="nil"/>
              <w:bottom w:val="single" w:sz="4" w:space="0" w:color="000000"/>
              <w:right w:val="single" w:sz="4" w:space="0" w:color="000000"/>
            </w:tcBorders>
            <w:shd w:val="clear" w:color="auto" w:fill="auto"/>
            <w:noWrap/>
            <w:vAlign w:val="bottom"/>
            <w:hideMark/>
          </w:tcPr>
          <w:p w14:paraId="24262102"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 </w:t>
            </w:r>
          </w:p>
        </w:tc>
        <w:tc>
          <w:tcPr>
            <w:tcW w:w="680" w:type="dxa"/>
            <w:tcBorders>
              <w:top w:val="nil"/>
              <w:left w:val="nil"/>
              <w:bottom w:val="single" w:sz="4" w:space="0" w:color="000000"/>
              <w:right w:val="single" w:sz="4" w:space="0" w:color="000000"/>
            </w:tcBorders>
            <w:shd w:val="clear" w:color="auto" w:fill="auto"/>
            <w:noWrap/>
            <w:vAlign w:val="bottom"/>
            <w:hideMark/>
          </w:tcPr>
          <w:p w14:paraId="65CD0C04"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 </w:t>
            </w:r>
          </w:p>
        </w:tc>
        <w:tc>
          <w:tcPr>
            <w:tcW w:w="860" w:type="dxa"/>
            <w:tcBorders>
              <w:top w:val="nil"/>
              <w:left w:val="nil"/>
              <w:bottom w:val="single" w:sz="4" w:space="0" w:color="000000"/>
              <w:right w:val="single" w:sz="4" w:space="0" w:color="000000"/>
            </w:tcBorders>
            <w:shd w:val="clear" w:color="auto" w:fill="auto"/>
            <w:noWrap/>
            <w:vAlign w:val="bottom"/>
            <w:hideMark/>
          </w:tcPr>
          <w:p w14:paraId="0652F403"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 </w:t>
            </w:r>
          </w:p>
        </w:tc>
        <w:tc>
          <w:tcPr>
            <w:tcW w:w="660" w:type="dxa"/>
            <w:tcBorders>
              <w:top w:val="nil"/>
              <w:left w:val="nil"/>
              <w:bottom w:val="single" w:sz="4" w:space="0" w:color="000000"/>
              <w:right w:val="single" w:sz="4" w:space="0" w:color="000000"/>
            </w:tcBorders>
            <w:shd w:val="clear" w:color="auto" w:fill="auto"/>
            <w:noWrap/>
            <w:vAlign w:val="bottom"/>
            <w:hideMark/>
          </w:tcPr>
          <w:p w14:paraId="3767C28D"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 </w:t>
            </w:r>
          </w:p>
        </w:tc>
        <w:tc>
          <w:tcPr>
            <w:tcW w:w="860" w:type="dxa"/>
            <w:tcBorders>
              <w:top w:val="nil"/>
              <w:left w:val="nil"/>
              <w:bottom w:val="single" w:sz="4" w:space="0" w:color="000000"/>
              <w:right w:val="single" w:sz="4" w:space="0" w:color="000000"/>
            </w:tcBorders>
            <w:shd w:val="clear" w:color="auto" w:fill="auto"/>
            <w:noWrap/>
            <w:vAlign w:val="bottom"/>
            <w:hideMark/>
          </w:tcPr>
          <w:p w14:paraId="229F5C30"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 </w:t>
            </w:r>
          </w:p>
        </w:tc>
      </w:tr>
    </w:tbl>
    <w:p w14:paraId="531C5BE7" w14:textId="77777777" w:rsidR="009F3AEA" w:rsidRDefault="009F3AEA"/>
    <w:p w14:paraId="01FEA03D" w14:textId="77777777" w:rsidR="009F3AEA" w:rsidRDefault="009F3AEA"/>
    <w:tbl>
      <w:tblPr>
        <w:tblW w:w="4765" w:type="dxa"/>
        <w:tblLook w:val="04A0" w:firstRow="1" w:lastRow="0" w:firstColumn="1" w:lastColumn="0" w:noHBand="0" w:noVBand="1"/>
      </w:tblPr>
      <w:tblGrid>
        <w:gridCol w:w="2825"/>
        <w:gridCol w:w="640"/>
        <w:gridCol w:w="560"/>
        <w:gridCol w:w="740"/>
      </w:tblGrid>
      <w:tr w:rsidR="005008E7" w:rsidRPr="005008E7" w14:paraId="57C00161" w14:textId="77777777" w:rsidTr="005008E7">
        <w:trPr>
          <w:trHeight w:val="315"/>
        </w:trPr>
        <w:tc>
          <w:tcPr>
            <w:tcW w:w="2825" w:type="dxa"/>
            <w:tcBorders>
              <w:top w:val="single" w:sz="4" w:space="0" w:color="9A9A9A"/>
              <w:left w:val="single" w:sz="4" w:space="0" w:color="9A9A9A"/>
              <w:bottom w:val="single" w:sz="4" w:space="0" w:color="9A9A9A"/>
              <w:right w:val="single" w:sz="4" w:space="0" w:color="9A9A9A"/>
            </w:tcBorders>
            <w:shd w:val="clear" w:color="auto" w:fill="auto"/>
            <w:noWrap/>
            <w:vAlign w:val="bottom"/>
            <w:hideMark/>
          </w:tcPr>
          <w:p w14:paraId="7916C99C" w14:textId="77777777" w:rsidR="005008E7" w:rsidRPr="005008E7" w:rsidRDefault="005008E7" w:rsidP="005008E7">
            <w:pPr>
              <w:spacing w:line="240" w:lineRule="auto"/>
              <w:rPr>
                <w:rFonts w:ascii="Calibri" w:eastAsia="Times New Roman" w:hAnsi="Calibri" w:cs="Calibri"/>
                <w:b/>
                <w:bCs/>
                <w:color w:val="23FF06"/>
                <w:sz w:val="16"/>
                <w:szCs w:val="16"/>
              </w:rPr>
            </w:pPr>
            <w:r w:rsidRPr="005008E7">
              <w:rPr>
                <w:rFonts w:ascii="Calibri" w:eastAsia="Times New Roman" w:hAnsi="Calibri" w:cs="Calibri"/>
                <w:b/>
                <w:bCs/>
                <w:color w:val="23FF06"/>
                <w:sz w:val="16"/>
                <w:szCs w:val="16"/>
              </w:rPr>
              <w:t>*  ZA=  +</w:t>
            </w:r>
          </w:p>
        </w:tc>
        <w:tc>
          <w:tcPr>
            <w:tcW w:w="640" w:type="dxa"/>
            <w:tcBorders>
              <w:top w:val="single" w:sz="4" w:space="0" w:color="9A9A9A"/>
              <w:left w:val="nil"/>
              <w:bottom w:val="single" w:sz="4" w:space="0" w:color="9A9A9A"/>
              <w:right w:val="single" w:sz="4" w:space="0" w:color="9A9A9A"/>
            </w:tcBorders>
            <w:shd w:val="clear" w:color="auto" w:fill="auto"/>
            <w:noWrap/>
            <w:vAlign w:val="bottom"/>
            <w:hideMark/>
          </w:tcPr>
          <w:p w14:paraId="7A416EF0"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 </w:t>
            </w:r>
          </w:p>
        </w:tc>
        <w:tc>
          <w:tcPr>
            <w:tcW w:w="560" w:type="dxa"/>
            <w:tcBorders>
              <w:top w:val="single" w:sz="4" w:space="0" w:color="9A9A9A"/>
              <w:left w:val="nil"/>
              <w:bottom w:val="single" w:sz="4" w:space="0" w:color="9A9A9A"/>
              <w:right w:val="single" w:sz="4" w:space="0" w:color="9A9A9A"/>
            </w:tcBorders>
            <w:shd w:val="clear" w:color="auto" w:fill="auto"/>
            <w:noWrap/>
            <w:vAlign w:val="bottom"/>
            <w:hideMark/>
          </w:tcPr>
          <w:p w14:paraId="3B49E466"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 </w:t>
            </w:r>
          </w:p>
        </w:tc>
        <w:tc>
          <w:tcPr>
            <w:tcW w:w="740" w:type="dxa"/>
            <w:tcBorders>
              <w:top w:val="single" w:sz="4" w:space="0" w:color="9A9A9A"/>
              <w:left w:val="nil"/>
              <w:bottom w:val="single" w:sz="4" w:space="0" w:color="9A9A9A"/>
              <w:right w:val="single" w:sz="4" w:space="0" w:color="9A9A9A"/>
            </w:tcBorders>
            <w:shd w:val="clear" w:color="auto" w:fill="auto"/>
            <w:noWrap/>
            <w:vAlign w:val="bottom"/>
            <w:hideMark/>
          </w:tcPr>
          <w:p w14:paraId="1CCBF699"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 </w:t>
            </w:r>
          </w:p>
        </w:tc>
      </w:tr>
      <w:tr w:rsidR="005008E7" w:rsidRPr="005008E7" w14:paraId="090113DE" w14:textId="77777777" w:rsidTr="005008E7">
        <w:trPr>
          <w:trHeight w:val="315"/>
        </w:trPr>
        <w:tc>
          <w:tcPr>
            <w:tcW w:w="2825" w:type="dxa"/>
            <w:tcBorders>
              <w:top w:val="nil"/>
              <w:left w:val="single" w:sz="4" w:space="0" w:color="9A9A9A"/>
              <w:bottom w:val="single" w:sz="4" w:space="0" w:color="9A9A9A"/>
              <w:right w:val="single" w:sz="4" w:space="0" w:color="9A9A9A"/>
            </w:tcBorders>
            <w:shd w:val="clear" w:color="auto" w:fill="auto"/>
            <w:noWrap/>
            <w:vAlign w:val="bottom"/>
            <w:hideMark/>
          </w:tcPr>
          <w:p w14:paraId="7C01D01C"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PROTIV=  —</w:t>
            </w:r>
          </w:p>
        </w:tc>
        <w:tc>
          <w:tcPr>
            <w:tcW w:w="640" w:type="dxa"/>
            <w:tcBorders>
              <w:top w:val="nil"/>
              <w:left w:val="nil"/>
              <w:bottom w:val="single" w:sz="4" w:space="0" w:color="9A9A9A"/>
              <w:right w:val="single" w:sz="4" w:space="0" w:color="9A9A9A"/>
            </w:tcBorders>
            <w:shd w:val="clear" w:color="auto" w:fill="auto"/>
            <w:noWrap/>
            <w:vAlign w:val="bottom"/>
            <w:hideMark/>
          </w:tcPr>
          <w:p w14:paraId="6C99B542"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 </w:t>
            </w:r>
          </w:p>
        </w:tc>
        <w:tc>
          <w:tcPr>
            <w:tcW w:w="560" w:type="dxa"/>
            <w:tcBorders>
              <w:top w:val="nil"/>
              <w:left w:val="nil"/>
              <w:bottom w:val="single" w:sz="4" w:space="0" w:color="9A9A9A"/>
              <w:right w:val="single" w:sz="4" w:space="0" w:color="9A9A9A"/>
            </w:tcBorders>
            <w:shd w:val="clear" w:color="auto" w:fill="auto"/>
            <w:noWrap/>
            <w:vAlign w:val="bottom"/>
            <w:hideMark/>
          </w:tcPr>
          <w:p w14:paraId="5FCBA52D"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 </w:t>
            </w:r>
          </w:p>
        </w:tc>
        <w:tc>
          <w:tcPr>
            <w:tcW w:w="740" w:type="dxa"/>
            <w:tcBorders>
              <w:top w:val="nil"/>
              <w:left w:val="nil"/>
              <w:bottom w:val="single" w:sz="4" w:space="0" w:color="9A9A9A"/>
              <w:right w:val="single" w:sz="4" w:space="0" w:color="9A9A9A"/>
            </w:tcBorders>
            <w:shd w:val="clear" w:color="auto" w:fill="auto"/>
            <w:noWrap/>
            <w:vAlign w:val="bottom"/>
            <w:hideMark/>
          </w:tcPr>
          <w:p w14:paraId="228CA776"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 </w:t>
            </w:r>
          </w:p>
        </w:tc>
      </w:tr>
      <w:tr w:rsidR="005008E7" w:rsidRPr="005008E7" w14:paraId="7DB2AC55" w14:textId="77777777" w:rsidTr="005008E7">
        <w:trPr>
          <w:trHeight w:val="315"/>
        </w:trPr>
        <w:tc>
          <w:tcPr>
            <w:tcW w:w="2825" w:type="dxa"/>
            <w:tcBorders>
              <w:top w:val="nil"/>
              <w:left w:val="single" w:sz="4" w:space="0" w:color="9A9A9A"/>
              <w:bottom w:val="single" w:sz="4" w:space="0" w:color="9A9A9A"/>
              <w:right w:val="single" w:sz="4" w:space="0" w:color="9A9A9A"/>
            </w:tcBorders>
            <w:shd w:val="clear" w:color="auto" w:fill="auto"/>
            <w:noWrap/>
            <w:vAlign w:val="bottom"/>
            <w:hideMark/>
          </w:tcPr>
          <w:p w14:paraId="0963CF65"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SUZDRŽAN=  0</w:t>
            </w:r>
          </w:p>
        </w:tc>
        <w:tc>
          <w:tcPr>
            <w:tcW w:w="640" w:type="dxa"/>
            <w:tcBorders>
              <w:top w:val="nil"/>
              <w:left w:val="nil"/>
              <w:bottom w:val="single" w:sz="4" w:space="0" w:color="9A9A9A"/>
              <w:right w:val="single" w:sz="4" w:space="0" w:color="9A9A9A"/>
            </w:tcBorders>
            <w:shd w:val="clear" w:color="auto" w:fill="auto"/>
            <w:noWrap/>
            <w:vAlign w:val="bottom"/>
            <w:hideMark/>
          </w:tcPr>
          <w:p w14:paraId="5517FB74"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 </w:t>
            </w:r>
          </w:p>
        </w:tc>
        <w:tc>
          <w:tcPr>
            <w:tcW w:w="560" w:type="dxa"/>
            <w:tcBorders>
              <w:top w:val="nil"/>
              <w:left w:val="nil"/>
              <w:bottom w:val="single" w:sz="4" w:space="0" w:color="9A9A9A"/>
              <w:right w:val="single" w:sz="4" w:space="0" w:color="9A9A9A"/>
            </w:tcBorders>
            <w:shd w:val="clear" w:color="auto" w:fill="auto"/>
            <w:noWrap/>
            <w:vAlign w:val="bottom"/>
            <w:hideMark/>
          </w:tcPr>
          <w:p w14:paraId="14167FF6"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 </w:t>
            </w:r>
          </w:p>
        </w:tc>
        <w:tc>
          <w:tcPr>
            <w:tcW w:w="740" w:type="dxa"/>
            <w:tcBorders>
              <w:top w:val="nil"/>
              <w:left w:val="nil"/>
              <w:bottom w:val="single" w:sz="4" w:space="0" w:color="9A9A9A"/>
              <w:right w:val="single" w:sz="4" w:space="0" w:color="9A9A9A"/>
            </w:tcBorders>
            <w:shd w:val="clear" w:color="auto" w:fill="auto"/>
            <w:noWrap/>
            <w:vAlign w:val="bottom"/>
            <w:hideMark/>
          </w:tcPr>
          <w:p w14:paraId="3E37CCA5"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 </w:t>
            </w:r>
          </w:p>
        </w:tc>
      </w:tr>
      <w:tr w:rsidR="005008E7" w:rsidRPr="005008E7" w14:paraId="346F8B77" w14:textId="77777777" w:rsidTr="005008E7">
        <w:trPr>
          <w:trHeight w:val="315"/>
        </w:trPr>
        <w:tc>
          <w:tcPr>
            <w:tcW w:w="2825" w:type="dxa"/>
            <w:tcBorders>
              <w:top w:val="nil"/>
              <w:left w:val="single" w:sz="4" w:space="0" w:color="9A9A9A"/>
              <w:bottom w:val="single" w:sz="4" w:space="0" w:color="9A9A9A"/>
              <w:right w:val="single" w:sz="4" w:space="0" w:color="9A9A9A"/>
            </w:tcBorders>
            <w:shd w:val="clear" w:color="auto" w:fill="auto"/>
            <w:noWrap/>
            <w:vAlign w:val="bottom"/>
            <w:hideMark/>
          </w:tcPr>
          <w:p w14:paraId="4A8A2347"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NIJE PRISUTAN= prekrižiti ime</w:t>
            </w:r>
          </w:p>
        </w:tc>
        <w:tc>
          <w:tcPr>
            <w:tcW w:w="640" w:type="dxa"/>
            <w:tcBorders>
              <w:top w:val="nil"/>
              <w:left w:val="nil"/>
              <w:bottom w:val="single" w:sz="4" w:space="0" w:color="9A9A9A"/>
              <w:right w:val="single" w:sz="4" w:space="0" w:color="9A9A9A"/>
            </w:tcBorders>
            <w:shd w:val="clear" w:color="auto" w:fill="auto"/>
            <w:noWrap/>
            <w:vAlign w:val="bottom"/>
            <w:hideMark/>
          </w:tcPr>
          <w:p w14:paraId="307831F0"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 </w:t>
            </w:r>
          </w:p>
        </w:tc>
        <w:tc>
          <w:tcPr>
            <w:tcW w:w="560" w:type="dxa"/>
            <w:tcBorders>
              <w:top w:val="nil"/>
              <w:left w:val="nil"/>
              <w:bottom w:val="single" w:sz="4" w:space="0" w:color="9A9A9A"/>
              <w:right w:val="single" w:sz="4" w:space="0" w:color="9A9A9A"/>
            </w:tcBorders>
            <w:shd w:val="clear" w:color="auto" w:fill="auto"/>
            <w:noWrap/>
            <w:vAlign w:val="bottom"/>
            <w:hideMark/>
          </w:tcPr>
          <w:p w14:paraId="0E20812F"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 </w:t>
            </w:r>
          </w:p>
        </w:tc>
        <w:tc>
          <w:tcPr>
            <w:tcW w:w="740" w:type="dxa"/>
            <w:tcBorders>
              <w:top w:val="nil"/>
              <w:left w:val="nil"/>
              <w:bottom w:val="single" w:sz="4" w:space="0" w:color="9A9A9A"/>
              <w:right w:val="single" w:sz="4" w:space="0" w:color="9A9A9A"/>
            </w:tcBorders>
            <w:shd w:val="clear" w:color="auto" w:fill="auto"/>
            <w:noWrap/>
            <w:vAlign w:val="bottom"/>
            <w:hideMark/>
          </w:tcPr>
          <w:p w14:paraId="10089602" w14:textId="77777777" w:rsidR="005008E7" w:rsidRPr="005008E7" w:rsidRDefault="005008E7" w:rsidP="005008E7">
            <w:pPr>
              <w:spacing w:line="240" w:lineRule="auto"/>
              <w:rPr>
                <w:rFonts w:eastAsia="Times New Roman"/>
                <w:color w:val="000000"/>
                <w:sz w:val="20"/>
                <w:szCs w:val="20"/>
              </w:rPr>
            </w:pPr>
            <w:r w:rsidRPr="005008E7">
              <w:rPr>
                <w:rFonts w:eastAsia="Times New Roman"/>
                <w:color w:val="000000"/>
                <w:sz w:val="20"/>
                <w:szCs w:val="20"/>
              </w:rPr>
              <w:t> </w:t>
            </w:r>
          </w:p>
        </w:tc>
      </w:tr>
    </w:tbl>
    <w:p w14:paraId="2055E62E" w14:textId="77777777" w:rsidR="009F3AEA" w:rsidRDefault="009F3AEA"/>
    <w:p w14:paraId="1A6C3806" w14:textId="77777777" w:rsidR="009F3AEA" w:rsidRDefault="009F3AEA"/>
    <w:p w14:paraId="4B9482B6" w14:textId="77777777" w:rsidR="009F3AEA" w:rsidRDefault="009F3AEA"/>
    <w:p w14:paraId="1B675816" w14:textId="77777777" w:rsidR="009F3AEA" w:rsidRDefault="009F3AEA"/>
    <w:p w14:paraId="29E4BCD5" w14:textId="77777777" w:rsidR="009F3AEA" w:rsidRDefault="009F3AEA"/>
    <w:sectPr w:rsidR="009F3AEA">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33DBE"/>
    <w:multiLevelType w:val="hybridMultilevel"/>
    <w:tmpl w:val="B9847C60"/>
    <w:lvl w:ilvl="0" w:tplc="FFFFFFFF">
      <w:start w:val="1"/>
      <w:numFmt w:val="decimal"/>
      <w:lvlText w:val="%1."/>
      <w:lvlJc w:val="left"/>
      <w:pPr>
        <w:ind w:left="360" w:hanging="360"/>
      </w:pPr>
      <w:rPr>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8D85A5A"/>
    <w:multiLevelType w:val="hybridMultilevel"/>
    <w:tmpl w:val="C18233A6"/>
    <w:lvl w:ilvl="0" w:tplc="FFFFFFFF">
      <w:start w:val="1"/>
      <w:numFmt w:val="decimal"/>
      <w:lvlText w:val="%1."/>
      <w:lvlJc w:val="left"/>
      <w:pPr>
        <w:ind w:left="644" w:hanging="360"/>
      </w:pPr>
      <w:rPr>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 w15:restartNumberingAfterBreak="0">
    <w:nsid w:val="3E630DCC"/>
    <w:multiLevelType w:val="hybridMultilevel"/>
    <w:tmpl w:val="EAB49EC8"/>
    <w:lvl w:ilvl="0" w:tplc="FFFFFFFF">
      <w:start w:val="1"/>
      <w:numFmt w:val="decimal"/>
      <w:lvlText w:val="%1."/>
      <w:lvlJc w:val="left"/>
      <w:pPr>
        <w:ind w:left="360" w:hanging="360"/>
      </w:pPr>
      <w:rPr>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4D230B64"/>
    <w:multiLevelType w:val="multilevel"/>
    <w:tmpl w:val="403E1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D001CBD"/>
    <w:multiLevelType w:val="hybridMultilevel"/>
    <w:tmpl w:val="54C6A6BC"/>
    <w:lvl w:ilvl="0" w:tplc="FFFFFFFF">
      <w:start w:val="1"/>
      <w:numFmt w:val="decimal"/>
      <w:lvlText w:val="%1."/>
      <w:lvlJc w:val="left"/>
      <w:pPr>
        <w:ind w:left="360" w:hanging="360"/>
      </w:pPr>
      <w:rPr>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61F5440B"/>
    <w:multiLevelType w:val="hybridMultilevel"/>
    <w:tmpl w:val="7FC41F5C"/>
    <w:lvl w:ilvl="0" w:tplc="FFFFFFFF">
      <w:start w:val="1"/>
      <w:numFmt w:val="decimal"/>
      <w:lvlText w:val="%1."/>
      <w:lvlJc w:val="left"/>
      <w:pPr>
        <w:ind w:left="360" w:hanging="360"/>
      </w:pPr>
      <w:rPr>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 w15:restartNumberingAfterBreak="0">
    <w:nsid w:val="6A0B6EED"/>
    <w:multiLevelType w:val="hybridMultilevel"/>
    <w:tmpl w:val="7FC41F5C"/>
    <w:lvl w:ilvl="0" w:tplc="F09891AE">
      <w:start w:val="1"/>
      <w:numFmt w:val="decimal"/>
      <w:lvlText w:val="%1."/>
      <w:lvlJc w:val="left"/>
      <w:pPr>
        <w:ind w:left="360"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num w:numId="1">
    <w:abstractNumId w:val="3"/>
  </w:num>
  <w:num w:numId="2">
    <w:abstractNumId w:val="6"/>
  </w:num>
  <w:num w:numId="3">
    <w:abstractNumId w:val="1"/>
  </w:num>
  <w:num w:numId="4">
    <w:abstractNumId w:val="5"/>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AEA"/>
    <w:rsid w:val="00133001"/>
    <w:rsid w:val="005008E7"/>
    <w:rsid w:val="00570C63"/>
    <w:rsid w:val="00596228"/>
    <w:rsid w:val="007236B9"/>
    <w:rsid w:val="008F1971"/>
    <w:rsid w:val="00917B87"/>
    <w:rsid w:val="009F3AEA"/>
    <w:rsid w:val="00A52B9C"/>
    <w:rsid w:val="00B97800"/>
    <w:rsid w:val="00D35F0D"/>
    <w:rsid w:val="00E30028"/>
    <w:rsid w:val="00E71DF9"/>
    <w:rsid w:val="00FF1B0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01E82"/>
  <w15:docId w15:val="{FEF83400-3C09-41E6-B358-285E54857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hr-H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5DC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C75DCA"/>
    <w:pPr>
      <w:ind w:left="720"/>
      <w:contextualSpacing/>
    </w:pPr>
  </w:style>
  <w:style w:type="paragraph" w:customStyle="1" w:styleId="Tijelo">
    <w:name w:val="Tijelo"/>
    <w:rsid w:val="00C75DCA"/>
    <w:pPr>
      <w:pBdr>
        <w:top w:val="nil"/>
        <w:left w:val="nil"/>
        <w:bottom w:val="nil"/>
        <w:right w:val="nil"/>
        <w:between w:val="nil"/>
        <w:bar w:val="nil"/>
      </w:pBdr>
      <w:spacing w:line="240" w:lineRule="auto"/>
      <w:jc w:val="both"/>
    </w:pPr>
    <w:rPr>
      <w:rFonts w:eastAsia="Arial Unicode MS" w:cs="Arial Unicode MS"/>
      <w:color w:val="000000"/>
      <w:szCs w:val="24"/>
      <w:u w:color="000000"/>
      <w:bdr w:val="nil"/>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035938">
      <w:bodyDiv w:val="1"/>
      <w:marLeft w:val="0"/>
      <w:marRight w:val="0"/>
      <w:marTop w:val="0"/>
      <w:marBottom w:val="0"/>
      <w:divBdr>
        <w:top w:val="none" w:sz="0" w:space="0" w:color="auto"/>
        <w:left w:val="none" w:sz="0" w:space="0" w:color="auto"/>
        <w:bottom w:val="none" w:sz="0" w:space="0" w:color="auto"/>
        <w:right w:val="none" w:sz="0" w:space="0" w:color="auto"/>
      </w:divBdr>
    </w:div>
    <w:div w:id="434981174">
      <w:bodyDiv w:val="1"/>
      <w:marLeft w:val="0"/>
      <w:marRight w:val="0"/>
      <w:marTop w:val="0"/>
      <w:marBottom w:val="0"/>
      <w:divBdr>
        <w:top w:val="none" w:sz="0" w:space="0" w:color="auto"/>
        <w:left w:val="none" w:sz="0" w:space="0" w:color="auto"/>
        <w:bottom w:val="none" w:sz="0" w:space="0" w:color="auto"/>
        <w:right w:val="none" w:sz="0" w:space="0" w:color="auto"/>
      </w:divBdr>
    </w:div>
    <w:div w:id="982739166">
      <w:bodyDiv w:val="1"/>
      <w:marLeft w:val="0"/>
      <w:marRight w:val="0"/>
      <w:marTop w:val="0"/>
      <w:marBottom w:val="0"/>
      <w:divBdr>
        <w:top w:val="none" w:sz="0" w:space="0" w:color="auto"/>
        <w:left w:val="none" w:sz="0" w:space="0" w:color="auto"/>
        <w:bottom w:val="none" w:sz="0" w:space="0" w:color="auto"/>
        <w:right w:val="none" w:sz="0" w:space="0" w:color="auto"/>
      </w:divBdr>
    </w:div>
    <w:div w:id="1566407687">
      <w:bodyDiv w:val="1"/>
      <w:marLeft w:val="0"/>
      <w:marRight w:val="0"/>
      <w:marTop w:val="0"/>
      <w:marBottom w:val="0"/>
      <w:divBdr>
        <w:top w:val="none" w:sz="0" w:space="0" w:color="auto"/>
        <w:left w:val="none" w:sz="0" w:space="0" w:color="auto"/>
        <w:bottom w:val="none" w:sz="0" w:space="0" w:color="auto"/>
        <w:right w:val="none" w:sz="0" w:space="0" w:color="auto"/>
      </w:divBdr>
    </w:div>
    <w:div w:id="1821918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F6gqe5weajvZ4Z1qzvqNjIjPYfw==">AMUW2mUXoATgCpHhx1CvIZo69DqMn/g+1nr3/qz2nLhyXUeCn/1PJHlxaTmZoSGfRE3TUVQELPZ4rKDat7OT/DOvQpUay/aHIcMiR4ep8Eqh/sgWbfEUvGDjdBviJIucfvaQ6FV3J91t3nwjsp4hd8ltU2t1DM+bsT1TW5/TczzRyl4XCvu1SFsdmU5LnQgTaqyPsJ25dNOTR3edw5O4+f9U84sjAulON1rP1F3xITNf4ie83ghR2qxSx7URsyaEm3LotcB0LMaFulOP0sO808y376TJeZq8EPQY9xrDXMjKy4nDOU8OnlX1Pluh6UJOLVxsoWE29no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2989</Words>
  <Characters>17043</Characters>
  <Application>Microsoft Office Word</Application>
  <DocSecurity>0</DocSecurity>
  <Lines>142</Lines>
  <Paragraphs>39</Paragraphs>
  <ScaleCrop>false</ScaleCrop>
  <HeadingPairs>
    <vt:vector size="2" baseType="variant">
      <vt:variant>
        <vt:lpstr>Naslov</vt:lpstr>
      </vt:variant>
      <vt:variant>
        <vt:i4>1</vt:i4>
      </vt:variant>
    </vt:vector>
  </HeadingPairs>
  <TitlesOfParts>
    <vt:vector size="1" baseType="lpstr">
      <vt:lpstr/>
    </vt:vector>
  </TitlesOfParts>
  <Company>Grad Zagreb</Company>
  <LinksUpToDate>false</LinksUpToDate>
  <CharactersWithSpaces>19993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Broz</dc:creator>
  <cp:lastModifiedBy>Nenad Kranjčec</cp:lastModifiedBy>
  <cp:revision>5</cp:revision>
  <cp:lastPrinted>2023-04-20T12:12:00Z</cp:lastPrinted>
  <dcterms:created xsi:type="dcterms:W3CDTF">2023-04-20T10:29:00Z</dcterms:created>
  <dcterms:modified xsi:type="dcterms:W3CDTF">2023-05-11T09:07:00Z</dcterms:modified>
</cp:coreProperties>
</file>